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5C58A1">
          <w:headerReference w:type="even" r:id="rId14"/>
          <w:headerReference w:type="default" r:id="rId15"/>
          <w:footerReference w:type="even" r:id="rId16"/>
          <w:footerReference w:type="default" r:id="rId17"/>
          <w:headerReference w:type="first" r:id="rId18"/>
          <w:footerReference w:type="first" r:id="rId19"/>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40C4B2" w:rsidR="00093CA9" w:rsidRDefault="00E40176"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6F8E00B" w:rsidR="00093CA9" w:rsidRDefault="00E40176" w:rsidP="00093CA9">
            <w:r>
              <w:t>California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F281CA0" w:rsidR="00093CA9" w:rsidRDefault="00D2244A" w:rsidP="00093CA9">
            <w:r w:rsidRPr="00D2244A">
              <w:t>SB 219 (Wiener, 2024): Consolidation of Climate Corporate Data Accountability Act (SB 253) and the Climate-Related Financial Risk Act (SB 261)</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7D50BA5" w:rsidR="00093CA9" w:rsidRDefault="0058509D" w:rsidP="00093CA9">
            <w:hyperlink r:id="rId20" w:history="1">
              <w:r w:rsidRPr="0058509D">
                <w:rPr>
                  <w:rStyle w:val="Hyperlink"/>
                </w:rPr>
                <w:t>/web/20250614225121/https://legiscan.com/CA/text/SB219/id/3023169</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8491177" w:rsidR="00093CA9" w:rsidRDefault="008221E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0DF24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343B92F" w:rsidR="00093CA9" w:rsidRPr="00DC2F86" w:rsidRDefault="003F4544" w:rsidP="00093CA9">
            <w:pPr>
              <w:rPr>
                <w:rFonts w:cstheme="minorHAnsi"/>
              </w:rPr>
            </w:pPr>
            <w:r w:rsidRPr="00DC2F86">
              <w:rPr>
                <w:rFonts w:cstheme="minorHAnsi"/>
              </w:rPr>
              <w:t>The policy tool consolidates and amends the Climate Corporate Data Accountability Act (SB 253) and the Climate-Related Financial Risk Act (SB 261), which impose requirements on entities that earn significant revenues and do business in California to disclose greenhouse gas emissions and climate-related financial risk data</w:t>
            </w:r>
            <w:r w:rsidR="0052424D" w:rsidRPr="00DC2F86">
              <w:rPr>
                <w:rFonts w:cstheme="minorHAnsi"/>
              </w:rPr>
              <w:t>.</w:t>
            </w:r>
            <w:r w:rsidR="0058509D" w:rsidRPr="00DC2F86">
              <w:rPr>
                <w:rFonts w:cstheme="minorHAnsi"/>
                <w:color w:val="000000"/>
                <w:shd w:val="clear" w:color="auto" w:fill="FEFEFE"/>
              </w:rPr>
              <w:t xml:space="preserve"> The policy tool empowers the California Air Resources Board to </w:t>
            </w:r>
            <w:r w:rsidR="0058509D" w:rsidRPr="00DC2F86">
              <w:rPr>
                <w:rFonts w:cstheme="minorHAnsi"/>
              </w:rPr>
              <w:t>develop and adopt regulations to require reporting entities to annually disclose their scope 1, 2, and 3 emissions and obtain an assurance engagement performed by an independent third-party assurance provider.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A597706" w:rsidR="00093CA9" w:rsidRDefault="00DC14A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11F24BA" w:rsidR="00093CA9" w:rsidRPr="00173D7C" w:rsidRDefault="00DC14A0"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2347294" w:rsidR="00093CA9" w:rsidRPr="00173D7C" w:rsidRDefault="00DC14A0" w:rsidP="00093CA9">
            <w:pPr>
              <w:rPr>
                <w:color w:val="000000" w:themeColor="text1"/>
              </w:rPr>
            </w:pPr>
            <w:r>
              <w:rPr>
                <w:color w:val="000000" w:themeColor="text1"/>
              </w:rPr>
              <w:t>202</w:t>
            </w:r>
            <w:r w:rsidR="00B07CF6">
              <w:rPr>
                <w:color w:val="000000" w:themeColor="text1"/>
              </w:rPr>
              <w:t>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03AF16B" w:rsidR="00093CA9" w:rsidRDefault="00DC14A0" w:rsidP="00093CA9">
            <w:r>
              <w:t>California State 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43EE84A" w:rsidR="00093CA9" w:rsidRPr="006B7B0D" w:rsidRDefault="0052424D" w:rsidP="00093CA9">
            <w:r>
              <w:t>California Air Resources Board (the “state board”)</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C6246F5" w:rsidR="00093CA9" w:rsidRPr="006B7B0D" w:rsidRDefault="0052424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C3D5EED" w:rsidR="00093CA9" w:rsidRDefault="009F52B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A26D096" w14:textId="77777777" w:rsidR="00093CA9" w:rsidRDefault="009F52B0" w:rsidP="00093CA9">
            <w:pPr>
              <w:keepNext/>
              <w:rPr>
                <w:color w:val="000000" w:themeColor="text1"/>
              </w:rPr>
            </w:pPr>
            <w:r>
              <w:rPr>
                <w:color w:val="000000" w:themeColor="text1"/>
              </w:rPr>
              <w:t>The following sections discuss the implementation and enforcement systems in place:</w:t>
            </w:r>
          </w:p>
          <w:p w14:paraId="6350127F" w14:textId="6A6CCBF1" w:rsidR="009F52B0" w:rsidRDefault="00525910" w:rsidP="009F52B0">
            <w:pPr>
              <w:pStyle w:val="ListParagraph"/>
              <w:keepNext/>
              <w:numPr>
                <w:ilvl w:val="0"/>
                <w:numId w:val="49"/>
              </w:numPr>
              <w:rPr>
                <w:color w:val="000000" w:themeColor="text1"/>
              </w:rPr>
            </w:pPr>
            <w:r>
              <w:rPr>
                <w:color w:val="000000" w:themeColor="text1"/>
              </w:rPr>
              <w:t xml:space="preserve">Section </w:t>
            </w:r>
            <w:r w:rsidRPr="00525910">
              <w:rPr>
                <w:color w:val="000000" w:themeColor="text1"/>
              </w:rPr>
              <w:t xml:space="preserve">38532 </w:t>
            </w:r>
            <w:r>
              <w:rPr>
                <w:color w:val="000000" w:themeColor="text1"/>
              </w:rPr>
              <w:t>(c)(3) “</w:t>
            </w:r>
            <w:r w:rsidRPr="00525910">
              <w:rPr>
                <w:color w:val="000000" w:themeColor="text1"/>
              </w:rPr>
              <w:t>The state board may contract with an emissions reporting organization to develop a reporting program to receive and make publicly available disclosures required by this section pursuant to paragraph (1)</w:t>
            </w:r>
            <w:r>
              <w:rPr>
                <w:color w:val="000000" w:themeColor="text1"/>
              </w:rPr>
              <w:t>”</w:t>
            </w:r>
          </w:p>
          <w:p w14:paraId="67BC5CF5" w14:textId="08ED2EA8" w:rsidR="00525910" w:rsidRDefault="00525910" w:rsidP="009F52B0">
            <w:pPr>
              <w:pStyle w:val="ListParagraph"/>
              <w:keepNext/>
              <w:numPr>
                <w:ilvl w:val="0"/>
                <w:numId w:val="49"/>
              </w:numPr>
              <w:rPr>
                <w:color w:val="000000" w:themeColor="text1"/>
              </w:rPr>
            </w:pPr>
            <w:r>
              <w:rPr>
                <w:color w:val="000000" w:themeColor="text1"/>
              </w:rPr>
              <w:t xml:space="preserve">Section </w:t>
            </w:r>
            <w:r w:rsidRPr="00525910">
              <w:rPr>
                <w:color w:val="000000" w:themeColor="text1"/>
              </w:rPr>
              <w:t xml:space="preserve">38532 </w:t>
            </w:r>
            <w:r>
              <w:rPr>
                <w:color w:val="000000" w:themeColor="text1"/>
              </w:rPr>
              <w:t>(d)(2)(A) &amp; (B) “</w:t>
            </w:r>
            <w:r w:rsidRPr="00525910">
              <w:rPr>
                <w:color w:val="000000" w:themeColor="text1"/>
              </w:rPr>
              <w:t>The state board shall ensure the report required by this subdivision is posted publicly by either of the following: (A) The emissions reporting organization, if contracted for services, to be made publicly available on the digital platform required to be created by the emissions reporting organization pursuant to subdivision (e)</w:t>
            </w:r>
            <w:r>
              <w:rPr>
                <w:color w:val="000000" w:themeColor="text1"/>
              </w:rPr>
              <w:t>” or “</w:t>
            </w:r>
            <w:r w:rsidRPr="00525910">
              <w:rPr>
                <w:color w:val="000000" w:themeColor="text1"/>
              </w:rPr>
              <w:t>(B) The state board on its public internet website</w:t>
            </w:r>
            <w:r>
              <w:rPr>
                <w:color w:val="000000" w:themeColor="text1"/>
              </w:rPr>
              <w:t xml:space="preserve">”. The report referred to by this section is </w:t>
            </w:r>
            <w:r w:rsidRPr="00525910">
              <w:rPr>
                <w:color w:val="000000" w:themeColor="text1"/>
              </w:rPr>
              <w:t>a report on the public disclosures made by reporting entities to the emissions reporting organization</w:t>
            </w:r>
            <w:r>
              <w:rPr>
                <w:color w:val="000000" w:themeColor="text1"/>
              </w:rPr>
              <w:t>.</w:t>
            </w:r>
          </w:p>
          <w:p w14:paraId="15A59160" w14:textId="16C399EF" w:rsidR="00525910" w:rsidRDefault="00525910" w:rsidP="009F52B0">
            <w:pPr>
              <w:pStyle w:val="ListParagraph"/>
              <w:keepNext/>
              <w:numPr>
                <w:ilvl w:val="0"/>
                <w:numId w:val="49"/>
              </w:numPr>
              <w:rPr>
                <w:color w:val="000000" w:themeColor="text1"/>
              </w:rPr>
            </w:pPr>
            <w:r>
              <w:rPr>
                <w:color w:val="000000" w:themeColor="text1"/>
              </w:rPr>
              <w:t xml:space="preserve">Section </w:t>
            </w:r>
            <w:r w:rsidRPr="00525910">
              <w:rPr>
                <w:color w:val="000000" w:themeColor="text1"/>
              </w:rPr>
              <w:t xml:space="preserve">38532 </w:t>
            </w:r>
            <w:r>
              <w:rPr>
                <w:color w:val="000000" w:themeColor="text1"/>
              </w:rPr>
              <w:t>(e)(1)(a) “</w:t>
            </w:r>
            <w:r w:rsidRPr="00525910">
              <w:rPr>
                <w:color w:val="000000" w:themeColor="text1"/>
              </w:rPr>
              <w:t>The state board, or the emissions reporting organization, if contracted for services, on or before the date determined by the state board pursuant to clause (</w:t>
            </w:r>
            <w:proofErr w:type="spellStart"/>
            <w:r w:rsidRPr="00525910">
              <w:rPr>
                <w:color w:val="000000" w:themeColor="text1"/>
              </w:rPr>
              <w:t>i</w:t>
            </w:r>
            <w:proofErr w:type="spellEnd"/>
            <w:r w:rsidRPr="00525910">
              <w:rPr>
                <w:color w:val="000000" w:themeColor="text1"/>
              </w:rPr>
              <w:t>) of</w:t>
            </w:r>
            <w:r>
              <w:rPr>
                <w:color w:val="000000" w:themeColor="text1"/>
              </w:rPr>
              <w:t xml:space="preserve"> </w:t>
            </w:r>
            <w:r w:rsidRPr="00525910">
              <w:rPr>
                <w:color w:val="000000" w:themeColor="text1"/>
              </w:rPr>
              <w:t xml:space="preserve">subparagraph (A) of paragraph (2) of subdivision (c), shall create a digital platform, which shall be accessible to the public, that will feature the emissions data of reporting entities in conformance with the regulations adopted by the state board pursuant to subdivision (c) and the report prepared for the state board pursuant to subdivision (d). The state board, or the emissions reporting organization, if contracted for services, shall make the reporting entities' disclosures </w:t>
            </w:r>
            <w:r w:rsidRPr="00525910">
              <w:rPr>
                <w:color w:val="000000" w:themeColor="text1"/>
              </w:rPr>
              <w:lastRenderedPageBreak/>
              <w:t>and the state board's report available on the digital platform no later than 90 days after receipt</w:t>
            </w:r>
            <w:r>
              <w:rPr>
                <w:color w:val="000000" w:themeColor="text1"/>
              </w:rPr>
              <w:t>”</w:t>
            </w:r>
          </w:p>
          <w:p w14:paraId="57DABF78" w14:textId="71DF8AD4" w:rsidR="00525910" w:rsidRDefault="00525910" w:rsidP="009F52B0">
            <w:pPr>
              <w:pStyle w:val="ListParagraph"/>
              <w:keepNext/>
              <w:numPr>
                <w:ilvl w:val="0"/>
                <w:numId w:val="49"/>
              </w:numPr>
              <w:rPr>
                <w:color w:val="000000" w:themeColor="text1"/>
              </w:rPr>
            </w:pPr>
            <w:r>
              <w:rPr>
                <w:color w:val="000000" w:themeColor="text1"/>
              </w:rPr>
              <w:t xml:space="preserve">Section </w:t>
            </w:r>
            <w:r w:rsidRPr="00525910">
              <w:rPr>
                <w:color w:val="000000" w:themeColor="text1"/>
              </w:rPr>
              <w:t xml:space="preserve">38532 </w:t>
            </w:r>
            <w:r>
              <w:rPr>
                <w:color w:val="000000" w:themeColor="text1"/>
              </w:rPr>
              <w:t>(e)(1)(</w:t>
            </w:r>
            <w:r w:rsidRPr="00525910">
              <w:rPr>
                <w:color w:val="000000" w:themeColor="text1"/>
              </w:rPr>
              <w:t xml:space="preserve">B) </w:t>
            </w:r>
            <w:r>
              <w:rPr>
                <w:color w:val="000000" w:themeColor="text1"/>
              </w:rPr>
              <w:t>“</w:t>
            </w:r>
            <w:r w:rsidRPr="00525910">
              <w:rPr>
                <w:color w:val="000000" w:themeColor="text1"/>
              </w:rPr>
              <w:t>The digital platform shall be capable of featuring individual reporting entity disclosures, and shall allow consumers, investors, and other stakeholders to view reported data elements aggregated in a variety of ways, including multiyear data, in a manner that is easily understandable and accessible to residents of the state. All data sets and customized views shall be available in electronic format for access and use by the public</w:t>
            </w:r>
            <w:r>
              <w:rPr>
                <w:color w:val="000000" w:themeColor="text1"/>
              </w:rPr>
              <w:t>”</w:t>
            </w:r>
          </w:p>
          <w:p w14:paraId="2C2128DB" w14:textId="68847110" w:rsidR="00525910" w:rsidRPr="009F52B0" w:rsidRDefault="00525910" w:rsidP="009F52B0">
            <w:pPr>
              <w:pStyle w:val="ListParagraph"/>
              <w:keepNext/>
              <w:numPr>
                <w:ilvl w:val="0"/>
                <w:numId w:val="49"/>
              </w:numPr>
              <w:rPr>
                <w:color w:val="000000" w:themeColor="text1"/>
              </w:rPr>
            </w:pPr>
            <w:r>
              <w:rPr>
                <w:color w:val="000000" w:themeColor="text1"/>
              </w:rPr>
              <w:t xml:space="preserve">Section </w:t>
            </w:r>
            <w:r w:rsidRPr="00525910">
              <w:rPr>
                <w:color w:val="000000" w:themeColor="text1"/>
              </w:rPr>
              <w:t>38533</w:t>
            </w:r>
            <w:r>
              <w:rPr>
                <w:color w:val="000000" w:themeColor="text1"/>
              </w:rPr>
              <w:t xml:space="preserve"> (</w:t>
            </w:r>
            <w:r w:rsidRPr="00525910">
              <w:rPr>
                <w:color w:val="000000" w:themeColor="text1"/>
              </w:rPr>
              <w:t xml:space="preserve">c)(1) </w:t>
            </w:r>
            <w:r>
              <w:rPr>
                <w:color w:val="000000" w:themeColor="text1"/>
              </w:rPr>
              <w:t>“</w:t>
            </w:r>
            <w:r w:rsidRPr="00525910">
              <w:rPr>
                <w:color w:val="000000" w:themeColor="text1"/>
              </w:rPr>
              <w:t>On or before January 1, 2026, and biennially thereafter, a covered entity shall make available to the public, on its own internet website, a copy of the report required by this section</w:t>
            </w:r>
            <w:r>
              <w:rPr>
                <w:color w:val="000000" w:themeColor="text1"/>
              </w:rPr>
              <w:t xml:space="preserve">”. The report referred to is a </w:t>
            </w:r>
            <w:r w:rsidRPr="00525910">
              <w:rPr>
                <w:color w:val="000000" w:themeColor="text1"/>
              </w:rPr>
              <w:t>biennial report that includes climate-related financial risk disclosure informatio</w:t>
            </w:r>
            <w:r>
              <w:rPr>
                <w:color w:val="000000" w:themeColor="text1"/>
              </w:rPr>
              <w:t>n.</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008F65BA" w:rsidR="00CF5268" w:rsidRDefault="001607BD"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83E470C" w:rsidR="00CF5268" w:rsidRDefault="001607BD"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8384CDC" w:rsidR="00CF5268" w:rsidRDefault="001607BD"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389DDDE9"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B5703AC" w:rsidR="00CF5268" w:rsidRDefault="001607BD"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71B9AA6" w:rsidR="00CF5268" w:rsidRDefault="001607BD"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908A926" w:rsidR="466E435B" w:rsidRDefault="001607BD"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C4DDE4A" w:rsidR="00CF5268" w:rsidRDefault="001607BD"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72557B4C" w:rsidR="466E435B" w:rsidRDefault="001607BD"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467F836" w:rsidR="466E435B" w:rsidRDefault="001607BD"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3AA1525" w:rsidR="466E435B" w:rsidRDefault="001607BD"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EFA0B01" w:rsidR="466E435B" w:rsidRDefault="001607BD"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2158A41B"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2E539E52" w:rsidR="00CF5268" w:rsidRDefault="0058509D"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9D2B283" w:rsidR="004B2D74" w:rsidRDefault="001607BD"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231757C8" w:rsidR="004B2D74" w:rsidRDefault="001607BD"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348AC7AC"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4B1ADC56" w:rsidR="004B2D74" w:rsidRDefault="001607BD"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058DFCA4" w:rsidR="004B2D74" w:rsidRDefault="001607BD"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3321D8E6" w:rsidR="004B2D74" w:rsidRDefault="001607BD"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58509D" w14:paraId="3852F953" w14:textId="77777777" w:rsidTr="00DD3144">
        <w:trPr>
          <w:trHeight w:val="22"/>
        </w:trPr>
        <w:tc>
          <w:tcPr>
            <w:tcW w:w="1066" w:type="dxa"/>
            <w:vAlign w:val="center"/>
          </w:tcPr>
          <w:p w14:paraId="47AF8D23" w14:textId="342BC7B3" w:rsidR="0058509D" w:rsidRDefault="0058509D" w:rsidP="0058509D">
            <w:r>
              <w:t>1.3.1</w:t>
            </w:r>
          </w:p>
        </w:tc>
        <w:tc>
          <w:tcPr>
            <w:tcW w:w="5034" w:type="dxa"/>
            <w:gridSpan w:val="3"/>
            <w:shd w:val="clear" w:color="auto" w:fill="DEEAF6" w:themeFill="accent5" w:themeFillTint="33"/>
            <w:vAlign w:val="center"/>
          </w:tcPr>
          <w:p w14:paraId="59F36856" w14:textId="64783591" w:rsidR="0058509D" w:rsidRDefault="0058509D" w:rsidP="0058509D">
            <w:r>
              <w:t>Agriculture, forestry, and fishing</w:t>
            </w:r>
          </w:p>
        </w:tc>
        <w:tc>
          <w:tcPr>
            <w:tcW w:w="1446" w:type="dxa"/>
            <w:gridSpan w:val="3"/>
            <w:vAlign w:val="center"/>
          </w:tcPr>
          <w:p w14:paraId="69F696D5" w14:textId="363DE43A" w:rsidR="0058509D" w:rsidRDefault="0058509D" w:rsidP="0058509D"/>
        </w:tc>
        <w:tc>
          <w:tcPr>
            <w:tcW w:w="1447" w:type="dxa"/>
            <w:vAlign w:val="center"/>
          </w:tcPr>
          <w:p w14:paraId="34055BA5" w14:textId="77777777" w:rsidR="0058509D" w:rsidRDefault="0058509D" w:rsidP="0058509D"/>
        </w:tc>
        <w:tc>
          <w:tcPr>
            <w:tcW w:w="1447" w:type="dxa"/>
            <w:vAlign w:val="center"/>
          </w:tcPr>
          <w:p w14:paraId="34C6590C" w14:textId="406D31DF" w:rsidR="0058509D" w:rsidRDefault="0058509D" w:rsidP="0058509D"/>
        </w:tc>
      </w:tr>
      <w:tr w:rsidR="0058509D" w14:paraId="60A12687" w14:textId="77777777" w:rsidTr="00DD3144">
        <w:trPr>
          <w:trHeight w:val="22"/>
        </w:trPr>
        <w:tc>
          <w:tcPr>
            <w:tcW w:w="1066" w:type="dxa"/>
            <w:vAlign w:val="center"/>
          </w:tcPr>
          <w:p w14:paraId="6233C86E" w14:textId="22DA4E08" w:rsidR="0058509D" w:rsidRDefault="0058509D" w:rsidP="0058509D">
            <w:r>
              <w:t>1.3.2</w:t>
            </w:r>
          </w:p>
        </w:tc>
        <w:tc>
          <w:tcPr>
            <w:tcW w:w="5034" w:type="dxa"/>
            <w:gridSpan w:val="3"/>
            <w:shd w:val="clear" w:color="auto" w:fill="DEEAF6" w:themeFill="accent5" w:themeFillTint="33"/>
            <w:vAlign w:val="center"/>
          </w:tcPr>
          <w:p w14:paraId="3BA7A9F5" w14:textId="7AF532B8" w:rsidR="0058509D" w:rsidRDefault="0058509D" w:rsidP="0058509D">
            <w:r>
              <w:t>Mining and quarrying</w:t>
            </w:r>
          </w:p>
        </w:tc>
        <w:tc>
          <w:tcPr>
            <w:tcW w:w="1446" w:type="dxa"/>
            <w:gridSpan w:val="3"/>
            <w:vAlign w:val="center"/>
          </w:tcPr>
          <w:p w14:paraId="2A2FF0C0" w14:textId="7F6966D9" w:rsidR="0058509D" w:rsidRDefault="0058509D" w:rsidP="0058509D"/>
        </w:tc>
        <w:tc>
          <w:tcPr>
            <w:tcW w:w="1447" w:type="dxa"/>
            <w:vAlign w:val="center"/>
          </w:tcPr>
          <w:p w14:paraId="0C33B9F0" w14:textId="77777777" w:rsidR="0058509D" w:rsidRDefault="0058509D" w:rsidP="0058509D"/>
        </w:tc>
        <w:tc>
          <w:tcPr>
            <w:tcW w:w="1447" w:type="dxa"/>
            <w:vAlign w:val="center"/>
          </w:tcPr>
          <w:p w14:paraId="779D17A6" w14:textId="381F136D" w:rsidR="0058509D" w:rsidRDefault="0058509D" w:rsidP="0058509D"/>
        </w:tc>
      </w:tr>
      <w:tr w:rsidR="0058509D" w14:paraId="26C5A642" w14:textId="77777777" w:rsidTr="00DD3144">
        <w:trPr>
          <w:trHeight w:val="22"/>
        </w:trPr>
        <w:tc>
          <w:tcPr>
            <w:tcW w:w="1066" w:type="dxa"/>
            <w:vAlign w:val="center"/>
          </w:tcPr>
          <w:p w14:paraId="214FE030" w14:textId="513D5B73" w:rsidR="0058509D" w:rsidRDefault="0058509D" w:rsidP="0058509D">
            <w:r>
              <w:t>1.3.3</w:t>
            </w:r>
          </w:p>
        </w:tc>
        <w:tc>
          <w:tcPr>
            <w:tcW w:w="5034" w:type="dxa"/>
            <w:gridSpan w:val="3"/>
            <w:shd w:val="clear" w:color="auto" w:fill="DEEAF6" w:themeFill="accent5" w:themeFillTint="33"/>
            <w:vAlign w:val="center"/>
          </w:tcPr>
          <w:p w14:paraId="3C6484F8" w14:textId="305DA469" w:rsidR="0058509D" w:rsidRDefault="0058509D" w:rsidP="0058509D">
            <w:r>
              <w:t>Manufacturing</w:t>
            </w:r>
          </w:p>
        </w:tc>
        <w:tc>
          <w:tcPr>
            <w:tcW w:w="1446" w:type="dxa"/>
            <w:gridSpan w:val="3"/>
            <w:vAlign w:val="center"/>
          </w:tcPr>
          <w:p w14:paraId="774DF8FB" w14:textId="099B949D" w:rsidR="0058509D" w:rsidRDefault="0058509D" w:rsidP="0058509D"/>
        </w:tc>
        <w:tc>
          <w:tcPr>
            <w:tcW w:w="1447" w:type="dxa"/>
            <w:vAlign w:val="center"/>
          </w:tcPr>
          <w:p w14:paraId="05559BB0" w14:textId="77777777" w:rsidR="0058509D" w:rsidRDefault="0058509D" w:rsidP="0058509D"/>
        </w:tc>
        <w:tc>
          <w:tcPr>
            <w:tcW w:w="1447" w:type="dxa"/>
            <w:vAlign w:val="center"/>
          </w:tcPr>
          <w:p w14:paraId="10584E6F" w14:textId="1B390727" w:rsidR="0058509D" w:rsidRDefault="0058509D" w:rsidP="0058509D"/>
        </w:tc>
      </w:tr>
      <w:tr w:rsidR="0058509D" w14:paraId="48298F99" w14:textId="77777777" w:rsidTr="00DD3144">
        <w:trPr>
          <w:trHeight w:val="22"/>
        </w:trPr>
        <w:tc>
          <w:tcPr>
            <w:tcW w:w="1066" w:type="dxa"/>
            <w:vAlign w:val="center"/>
          </w:tcPr>
          <w:p w14:paraId="0787F2B8" w14:textId="24D05349" w:rsidR="0058509D" w:rsidRDefault="0058509D" w:rsidP="0058509D">
            <w:r>
              <w:t>1.3.4</w:t>
            </w:r>
          </w:p>
        </w:tc>
        <w:tc>
          <w:tcPr>
            <w:tcW w:w="5034" w:type="dxa"/>
            <w:gridSpan w:val="3"/>
            <w:shd w:val="clear" w:color="auto" w:fill="DEEAF6" w:themeFill="accent5" w:themeFillTint="33"/>
            <w:vAlign w:val="center"/>
          </w:tcPr>
          <w:p w14:paraId="60E27A1F" w14:textId="73AEF53A" w:rsidR="0058509D" w:rsidRDefault="0058509D" w:rsidP="0058509D">
            <w:r>
              <w:t>Electricity, gas, steam, and air conditioning supply</w:t>
            </w:r>
          </w:p>
        </w:tc>
        <w:tc>
          <w:tcPr>
            <w:tcW w:w="1446" w:type="dxa"/>
            <w:gridSpan w:val="3"/>
            <w:vAlign w:val="center"/>
          </w:tcPr>
          <w:p w14:paraId="6B73D3A5" w14:textId="30A0EF3A" w:rsidR="0058509D" w:rsidRDefault="0058509D" w:rsidP="0058509D"/>
        </w:tc>
        <w:tc>
          <w:tcPr>
            <w:tcW w:w="1447" w:type="dxa"/>
            <w:vAlign w:val="center"/>
          </w:tcPr>
          <w:p w14:paraId="558B5FB8" w14:textId="77777777" w:rsidR="0058509D" w:rsidRDefault="0058509D" w:rsidP="0058509D"/>
        </w:tc>
        <w:tc>
          <w:tcPr>
            <w:tcW w:w="1447" w:type="dxa"/>
            <w:vAlign w:val="center"/>
          </w:tcPr>
          <w:p w14:paraId="05772DED" w14:textId="75D432BD" w:rsidR="0058509D" w:rsidRDefault="0058509D" w:rsidP="0058509D"/>
        </w:tc>
      </w:tr>
      <w:tr w:rsidR="0058509D" w14:paraId="1A38D3D7" w14:textId="77777777" w:rsidTr="00DD3144">
        <w:trPr>
          <w:trHeight w:val="22"/>
        </w:trPr>
        <w:tc>
          <w:tcPr>
            <w:tcW w:w="1066" w:type="dxa"/>
            <w:vAlign w:val="center"/>
          </w:tcPr>
          <w:p w14:paraId="7D76CAC1" w14:textId="253E6D49" w:rsidR="0058509D" w:rsidRDefault="0058509D" w:rsidP="0058509D">
            <w:r>
              <w:t>1.3.5</w:t>
            </w:r>
          </w:p>
        </w:tc>
        <w:tc>
          <w:tcPr>
            <w:tcW w:w="5034" w:type="dxa"/>
            <w:gridSpan w:val="3"/>
            <w:shd w:val="clear" w:color="auto" w:fill="DEEAF6" w:themeFill="accent5" w:themeFillTint="33"/>
            <w:vAlign w:val="center"/>
          </w:tcPr>
          <w:p w14:paraId="688FDB9E" w14:textId="658DEAF5" w:rsidR="0058509D" w:rsidRDefault="0058509D" w:rsidP="0058509D">
            <w:r>
              <w:t>Water supply; sewerage; waste management and remediation activities</w:t>
            </w:r>
          </w:p>
        </w:tc>
        <w:tc>
          <w:tcPr>
            <w:tcW w:w="1446" w:type="dxa"/>
            <w:gridSpan w:val="3"/>
            <w:vAlign w:val="center"/>
          </w:tcPr>
          <w:p w14:paraId="71E91DBA" w14:textId="290653A5" w:rsidR="0058509D" w:rsidRDefault="0058509D" w:rsidP="0058509D"/>
        </w:tc>
        <w:tc>
          <w:tcPr>
            <w:tcW w:w="1447" w:type="dxa"/>
            <w:vAlign w:val="center"/>
          </w:tcPr>
          <w:p w14:paraId="172666E7" w14:textId="77777777" w:rsidR="0058509D" w:rsidRDefault="0058509D" w:rsidP="0058509D"/>
        </w:tc>
        <w:tc>
          <w:tcPr>
            <w:tcW w:w="1447" w:type="dxa"/>
            <w:vAlign w:val="center"/>
          </w:tcPr>
          <w:p w14:paraId="514D36B6" w14:textId="68AB791D" w:rsidR="0058509D" w:rsidRDefault="0058509D" w:rsidP="0058509D"/>
        </w:tc>
      </w:tr>
      <w:tr w:rsidR="0058509D" w14:paraId="7DAAD497" w14:textId="77777777" w:rsidTr="00DD3144">
        <w:trPr>
          <w:trHeight w:val="22"/>
        </w:trPr>
        <w:tc>
          <w:tcPr>
            <w:tcW w:w="1066" w:type="dxa"/>
            <w:vAlign w:val="center"/>
          </w:tcPr>
          <w:p w14:paraId="11238BEA" w14:textId="0AE60649" w:rsidR="0058509D" w:rsidRDefault="0058509D" w:rsidP="0058509D">
            <w:r>
              <w:t>1.3.6</w:t>
            </w:r>
          </w:p>
        </w:tc>
        <w:tc>
          <w:tcPr>
            <w:tcW w:w="5034" w:type="dxa"/>
            <w:gridSpan w:val="3"/>
            <w:shd w:val="clear" w:color="auto" w:fill="DEEAF6" w:themeFill="accent5" w:themeFillTint="33"/>
            <w:vAlign w:val="center"/>
          </w:tcPr>
          <w:p w14:paraId="4B0DE306" w14:textId="1E30B215" w:rsidR="0058509D" w:rsidRDefault="0058509D" w:rsidP="0058509D">
            <w:r>
              <w:t>Construction</w:t>
            </w:r>
          </w:p>
        </w:tc>
        <w:tc>
          <w:tcPr>
            <w:tcW w:w="1446" w:type="dxa"/>
            <w:gridSpan w:val="3"/>
            <w:vAlign w:val="center"/>
          </w:tcPr>
          <w:p w14:paraId="6ECB4973" w14:textId="72C3B708" w:rsidR="0058509D" w:rsidRDefault="0058509D" w:rsidP="0058509D"/>
        </w:tc>
        <w:tc>
          <w:tcPr>
            <w:tcW w:w="1447" w:type="dxa"/>
            <w:vAlign w:val="center"/>
          </w:tcPr>
          <w:p w14:paraId="07CDACAE" w14:textId="77777777" w:rsidR="0058509D" w:rsidRDefault="0058509D" w:rsidP="0058509D"/>
        </w:tc>
        <w:tc>
          <w:tcPr>
            <w:tcW w:w="1447" w:type="dxa"/>
            <w:vAlign w:val="center"/>
          </w:tcPr>
          <w:p w14:paraId="1BBB5B50" w14:textId="15524280" w:rsidR="0058509D" w:rsidRDefault="0058509D" w:rsidP="0058509D"/>
        </w:tc>
      </w:tr>
      <w:tr w:rsidR="0058509D" w14:paraId="750BD35B" w14:textId="77777777" w:rsidTr="00DD3144">
        <w:trPr>
          <w:trHeight w:val="300"/>
        </w:trPr>
        <w:tc>
          <w:tcPr>
            <w:tcW w:w="1066" w:type="dxa"/>
            <w:vAlign w:val="center"/>
          </w:tcPr>
          <w:p w14:paraId="1C83B744" w14:textId="19C1B9DB" w:rsidR="0058509D" w:rsidRDefault="0058509D" w:rsidP="0058509D">
            <w:r>
              <w:t>1.3.7</w:t>
            </w:r>
          </w:p>
        </w:tc>
        <w:tc>
          <w:tcPr>
            <w:tcW w:w="5034" w:type="dxa"/>
            <w:gridSpan w:val="3"/>
            <w:shd w:val="clear" w:color="auto" w:fill="DEEAF6" w:themeFill="accent5" w:themeFillTint="33"/>
            <w:vAlign w:val="center"/>
          </w:tcPr>
          <w:p w14:paraId="2351705E" w14:textId="5D2D8F3A" w:rsidR="0058509D" w:rsidRDefault="0058509D" w:rsidP="0058509D">
            <w:r>
              <w:t>Wholesale and retail trade: repair of motor vehicles and motorcycles</w:t>
            </w:r>
          </w:p>
        </w:tc>
        <w:tc>
          <w:tcPr>
            <w:tcW w:w="1446" w:type="dxa"/>
            <w:gridSpan w:val="3"/>
            <w:vAlign w:val="center"/>
          </w:tcPr>
          <w:p w14:paraId="6D961AF4" w14:textId="5951A2CB" w:rsidR="0058509D" w:rsidRDefault="0058509D" w:rsidP="0058509D"/>
        </w:tc>
        <w:tc>
          <w:tcPr>
            <w:tcW w:w="1447" w:type="dxa"/>
            <w:vAlign w:val="center"/>
          </w:tcPr>
          <w:p w14:paraId="33B8A076" w14:textId="298BF86C" w:rsidR="0058509D" w:rsidRDefault="0058509D" w:rsidP="0058509D"/>
        </w:tc>
        <w:tc>
          <w:tcPr>
            <w:tcW w:w="1447" w:type="dxa"/>
            <w:vAlign w:val="center"/>
          </w:tcPr>
          <w:p w14:paraId="7B86950C" w14:textId="0FCDF0BC" w:rsidR="0058509D" w:rsidRDefault="0058509D" w:rsidP="0058509D"/>
        </w:tc>
      </w:tr>
      <w:tr w:rsidR="0058509D" w14:paraId="25ABB225" w14:textId="77777777" w:rsidTr="00DD3144">
        <w:trPr>
          <w:trHeight w:val="22"/>
        </w:trPr>
        <w:tc>
          <w:tcPr>
            <w:tcW w:w="1066" w:type="dxa"/>
            <w:vAlign w:val="center"/>
          </w:tcPr>
          <w:p w14:paraId="1DAA9E77" w14:textId="6438A727" w:rsidR="0058509D" w:rsidRDefault="0058509D" w:rsidP="0058509D">
            <w:r>
              <w:t>1.3.8</w:t>
            </w:r>
          </w:p>
        </w:tc>
        <w:tc>
          <w:tcPr>
            <w:tcW w:w="5034" w:type="dxa"/>
            <w:gridSpan w:val="3"/>
            <w:shd w:val="clear" w:color="auto" w:fill="DEEAF6" w:themeFill="accent5" w:themeFillTint="33"/>
            <w:vAlign w:val="center"/>
          </w:tcPr>
          <w:p w14:paraId="349D9EA6" w14:textId="5B4E3365" w:rsidR="0058509D" w:rsidRDefault="0058509D" w:rsidP="0058509D">
            <w:r>
              <w:t>Transportation and storage</w:t>
            </w:r>
          </w:p>
        </w:tc>
        <w:tc>
          <w:tcPr>
            <w:tcW w:w="1446" w:type="dxa"/>
            <w:gridSpan w:val="3"/>
            <w:vAlign w:val="center"/>
          </w:tcPr>
          <w:p w14:paraId="1DDC26BD" w14:textId="2BDF2D60" w:rsidR="0058509D" w:rsidRDefault="0058509D" w:rsidP="0058509D"/>
        </w:tc>
        <w:tc>
          <w:tcPr>
            <w:tcW w:w="1447" w:type="dxa"/>
            <w:vAlign w:val="center"/>
          </w:tcPr>
          <w:p w14:paraId="21C6F1BC" w14:textId="77777777" w:rsidR="0058509D" w:rsidRDefault="0058509D" w:rsidP="0058509D"/>
        </w:tc>
        <w:tc>
          <w:tcPr>
            <w:tcW w:w="1447" w:type="dxa"/>
            <w:vAlign w:val="center"/>
          </w:tcPr>
          <w:p w14:paraId="358E0D94" w14:textId="6A9913AB" w:rsidR="0058509D" w:rsidRDefault="0058509D" w:rsidP="0058509D"/>
        </w:tc>
      </w:tr>
      <w:tr w:rsidR="0058509D" w14:paraId="27FA2E4D" w14:textId="77777777" w:rsidTr="00DD3144">
        <w:trPr>
          <w:trHeight w:val="300"/>
        </w:trPr>
        <w:tc>
          <w:tcPr>
            <w:tcW w:w="1066" w:type="dxa"/>
            <w:vAlign w:val="center"/>
          </w:tcPr>
          <w:p w14:paraId="0B3342B1" w14:textId="4FF0AF4A" w:rsidR="0058509D" w:rsidRDefault="0058509D" w:rsidP="0058509D">
            <w:r>
              <w:t>1.3.9</w:t>
            </w:r>
          </w:p>
        </w:tc>
        <w:tc>
          <w:tcPr>
            <w:tcW w:w="5034" w:type="dxa"/>
            <w:gridSpan w:val="3"/>
            <w:shd w:val="clear" w:color="auto" w:fill="DEEAF6" w:themeFill="accent5" w:themeFillTint="33"/>
            <w:vAlign w:val="center"/>
          </w:tcPr>
          <w:p w14:paraId="3524B00D" w14:textId="4BF531C2" w:rsidR="0058509D" w:rsidRDefault="0058509D" w:rsidP="0058509D">
            <w:r>
              <w:t>Accommodation and food service activities</w:t>
            </w:r>
          </w:p>
        </w:tc>
        <w:tc>
          <w:tcPr>
            <w:tcW w:w="1446" w:type="dxa"/>
            <w:gridSpan w:val="3"/>
            <w:vAlign w:val="center"/>
          </w:tcPr>
          <w:p w14:paraId="5953C631" w14:textId="2BDC775F" w:rsidR="0058509D" w:rsidRDefault="0058509D" w:rsidP="0058509D"/>
        </w:tc>
        <w:tc>
          <w:tcPr>
            <w:tcW w:w="1447" w:type="dxa"/>
            <w:vAlign w:val="center"/>
          </w:tcPr>
          <w:p w14:paraId="3974288F" w14:textId="28F8160E" w:rsidR="0058509D" w:rsidRDefault="0058509D" w:rsidP="0058509D"/>
        </w:tc>
        <w:tc>
          <w:tcPr>
            <w:tcW w:w="1447" w:type="dxa"/>
            <w:vAlign w:val="center"/>
          </w:tcPr>
          <w:p w14:paraId="5E3EAD47" w14:textId="0D9469E1" w:rsidR="0058509D" w:rsidRDefault="0058509D" w:rsidP="0058509D"/>
        </w:tc>
      </w:tr>
      <w:tr w:rsidR="0058509D" w14:paraId="48399F7E" w14:textId="77777777" w:rsidTr="00DD3144">
        <w:trPr>
          <w:trHeight w:val="22"/>
        </w:trPr>
        <w:tc>
          <w:tcPr>
            <w:tcW w:w="1066" w:type="dxa"/>
            <w:vAlign w:val="center"/>
          </w:tcPr>
          <w:p w14:paraId="46DE04F1" w14:textId="4957E34E" w:rsidR="0058509D" w:rsidRDefault="0058509D" w:rsidP="0058509D">
            <w:r>
              <w:t>1.3.10</w:t>
            </w:r>
          </w:p>
        </w:tc>
        <w:tc>
          <w:tcPr>
            <w:tcW w:w="5034" w:type="dxa"/>
            <w:gridSpan w:val="3"/>
            <w:shd w:val="clear" w:color="auto" w:fill="DEEAF6" w:themeFill="accent5" w:themeFillTint="33"/>
            <w:vAlign w:val="center"/>
          </w:tcPr>
          <w:p w14:paraId="35950187" w14:textId="3B4E2C85" w:rsidR="0058509D" w:rsidRDefault="0058509D" w:rsidP="0058509D">
            <w:r>
              <w:t>Information and communication</w:t>
            </w:r>
          </w:p>
        </w:tc>
        <w:tc>
          <w:tcPr>
            <w:tcW w:w="1446" w:type="dxa"/>
            <w:gridSpan w:val="3"/>
            <w:vAlign w:val="center"/>
          </w:tcPr>
          <w:p w14:paraId="306879C0" w14:textId="43DC3388" w:rsidR="0058509D" w:rsidRDefault="0058509D" w:rsidP="0058509D"/>
        </w:tc>
        <w:tc>
          <w:tcPr>
            <w:tcW w:w="1447" w:type="dxa"/>
            <w:vAlign w:val="center"/>
          </w:tcPr>
          <w:p w14:paraId="33138F32" w14:textId="77777777" w:rsidR="0058509D" w:rsidRDefault="0058509D" w:rsidP="0058509D"/>
        </w:tc>
        <w:tc>
          <w:tcPr>
            <w:tcW w:w="1447" w:type="dxa"/>
            <w:vAlign w:val="center"/>
          </w:tcPr>
          <w:p w14:paraId="4E7060AD" w14:textId="11AE9FA7" w:rsidR="0058509D" w:rsidRDefault="0058509D" w:rsidP="0058509D"/>
        </w:tc>
      </w:tr>
      <w:tr w:rsidR="0058509D" w14:paraId="10D8C253" w14:textId="77777777" w:rsidTr="00DD3144">
        <w:trPr>
          <w:trHeight w:val="300"/>
        </w:trPr>
        <w:tc>
          <w:tcPr>
            <w:tcW w:w="1066" w:type="dxa"/>
            <w:vAlign w:val="center"/>
          </w:tcPr>
          <w:p w14:paraId="5C96F46E" w14:textId="20DDA979" w:rsidR="0058509D" w:rsidRDefault="0058509D" w:rsidP="0058509D">
            <w:r>
              <w:lastRenderedPageBreak/>
              <w:t>1.3.11</w:t>
            </w:r>
          </w:p>
        </w:tc>
        <w:tc>
          <w:tcPr>
            <w:tcW w:w="5034" w:type="dxa"/>
            <w:gridSpan w:val="3"/>
            <w:shd w:val="clear" w:color="auto" w:fill="DEEAF6" w:themeFill="accent5" w:themeFillTint="33"/>
            <w:vAlign w:val="center"/>
          </w:tcPr>
          <w:p w14:paraId="224E43A3" w14:textId="5D936875" w:rsidR="0058509D" w:rsidRDefault="0058509D" w:rsidP="0058509D">
            <w:r>
              <w:t>Financial and insurance activities</w:t>
            </w:r>
          </w:p>
        </w:tc>
        <w:tc>
          <w:tcPr>
            <w:tcW w:w="1446" w:type="dxa"/>
            <w:gridSpan w:val="3"/>
            <w:vAlign w:val="center"/>
          </w:tcPr>
          <w:p w14:paraId="64B58069" w14:textId="71B1AED6" w:rsidR="0058509D" w:rsidRDefault="0058509D" w:rsidP="0058509D"/>
        </w:tc>
        <w:tc>
          <w:tcPr>
            <w:tcW w:w="1447" w:type="dxa"/>
            <w:vAlign w:val="center"/>
          </w:tcPr>
          <w:p w14:paraId="111A676F" w14:textId="430368C0" w:rsidR="0058509D" w:rsidRDefault="0058509D" w:rsidP="0058509D"/>
        </w:tc>
        <w:tc>
          <w:tcPr>
            <w:tcW w:w="1447" w:type="dxa"/>
            <w:vAlign w:val="center"/>
          </w:tcPr>
          <w:p w14:paraId="1B895361" w14:textId="732F8502" w:rsidR="0058509D" w:rsidRDefault="0058509D" w:rsidP="0058509D"/>
        </w:tc>
      </w:tr>
      <w:tr w:rsidR="0058509D" w14:paraId="6E26B4B1" w14:textId="77777777" w:rsidTr="00DD3144">
        <w:trPr>
          <w:trHeight w:val="300"/>
        </w:trPr>
        <w:tc>
          <w:tcPr>
            <w:tcW w:w="1066" w:type="dxa"/>
            <w:vAlign w:val="center"/>
          </w:tcPr>
          <w:p w14:paraId="690FE6C2" w14:textId="7ACE3417" w:rsidR="0058509D" w:rsidRDefault="0058509D" w:rsidP="0058509D">
            <w:r>
              <w:t>1.3.12</w:t>
            </w:r>
          </w:p>
        </w:tc>
        <w:tc>
          <w:tcPr>
            <w:tcW w:w="5034" w:type="dxa"/>
            <w:gridSpan w:val="3"/>
            <w:shd w:val="clear" w:color="auto" w:fill="DEEAF6" w:themeFill="accent5" w:themeFillTint="33"/>
            <w:vAlign w:val="center"/>
          </w:tcPr>
          <w:p w14:paraId="4363E0FE" w14:textId="78124048" w:rsidR="0058509D" w:rsidRDefault="0058509D" w:rsidP="0058509D">
            <w:r>
              <w:t>Real estate activities</w:t>
            </w:r>
          </w:p>
        </w:tc>
        <w:tc>
          <w:tcPr>
            <w:tcW w:w="1446" w:type="dxa"/>
            <w:gridSpan w:val="3"/>
            <w:vAlign w:val="center"/>
          </w:tcPr>
          <w:p w14:paraId="4D62DF6A" w14:textId="488D3E0E" w:rsidR="0058509D" w:rsidRDefault="0058509D" w:rsidP="0058509D"/>
        </w:tc>
        <w:tc>
          <w:tcPr>
            <w:tcW w:w="1447" w:type="dxa"/>
            <w:vAlign w:val="center"/>
          </w:tcPr>
          <w:p w14:paraId="698E7008" w14:textId="3BB2BE6D" w:rsidR="0058509D" w:rsidRDefault="0058509D" w:rsidP="0058509D"/>
        </w:tc>
        <w:tc>
          <w:tcPr>
            <w:tcW w:w="1447" w:type="dxa"/>
            <w:vAlign w:val="center"/>
          </w:tcPr>
          <w:p w14:paraId="49A384D2" w14:textId="010E988A" w:rsidR="0058509D" w:rsidRDefault="0058509D" w:rsidP="0058509D"/>
        </w:tc>
      </w:tr>
      <w:tr w:rsidR="0058509D" w14:paraId="0C35F33B" w14:textId="77777777" w:rsidTr="00DD3144">
        <w:trPr>
          <w:trHeight w:val="300"/>
        </w:trPr>
        <w:tc>
          <w:tcPr>
            <w:tcW w:w="1066" w:type="dxa"/>
            <w:vAlign w:val="center"/>
          </w:tcPr>
          <w:p w14:paraId="23AE54F4" w14:textId="7FC1E42F" w:rsidR="0058509D" w:rsidRDefault="0058509D" w:rsidP="0058509D">
            <w:r>
              <w:t>1.3.13</w:t>
            </w:r>
          </w:p>
        </w:tc>
        <w:tc>
          <w:tcPr>
            <w:tcW w:w="5034" w:type="dxa"/>
            <w:gridSpan w:val="3"/>
            <w:shd w:val="clear" w:color="auto" w:fill="DEEAF6" w:themeFill="accent5" w:themeFillTint="33"/>
            <w:vAlign w:val="center"/>
          </w:tcPr>
          <w:p w14:paraId="5CD1397A" w14:textId="17B5BAFA" w:rsidR="0058509D" w:rsidRDefault="0058509D" w:rsidP="0058509D">
            <w:r>
              <w:t>Professional, scientific and technical activities</w:t>
            </w:r>
          </w:p>
        </w:tc>
        <w:tc>
          <w:tcPr>
            <w:tcW w:w="1446" w:type="dxa"/>
            <w:gridSpan w:val="3"/>
            <w:vAlign w:val="center"/>
          </w:tcPr>
          <w:p w14:paraId="1ED93AC0" w14:textId="6D9271BB" w:rsidR="0058509D" w:rsidRDefault="0058509D" w:rsidP="0058509D"/>
        </w:tc>
        <w:tc>
          <w:tcPr>
            <w:tcW w:w="1447" w:type="dxa"/>
            <w:vAlign w:val="center"/>
          </w:tcPr>
          <w:p w14:paraId="2AEED068" w14:textId="3391D4ED" w:rsidR="0058509D" w:rsidRDefault="0058509D" w:rsidP="0058509D"/>
        </w:tc>
        <w:tc>
          <w:tcPr>
            <w:tcW w:w="1447" w:type="dxa"/>
            <w:vAlign w:val="center"/>
          </w:tcPr>
          <w:p w14:paraId="5974CE16" w14:textId="27FE8E85" w:rsidR="0058509D" w:rsidRDefault="0058509D" w:rsidP="0058509D"/>
        </w:tc>
      </w:tr>
      <w:tr w:rsidR="0058509D" w14:paraId="25F67D45" w14:textId="77777777" w:rsidTr="00DD3144">
        <w:trPr>
          <w:trHeight w:val="300"/>
        </w:trPr>
        <w:tc>
          <w:tcPr>
            <w:tcW w:w="1066" w:type="dxa"/>
            <w:vAlign w:val="center"/>
          </w:tcPr>
          <w:p w14:paraId="710B5435" w14:textId="59C161D7" w:rsidR="0058509D" w:rsidRDefault="0058509D" w:rsidP="0058509D">
            <w:r>
              <w:t>1.3.14</w:t>
            </w:r>
          </w:p>
        </w:tc>
        <w:tc>
          <w:tcPr>
            <w:tcW w:w="5034" w:type="dxa"/>
            <w:gridSpan w:val="3"/>
            <w:shd w:val="clear" w:color="auto" w:fill="DEEAF6" w:themeFill="accent5" w:themeFillTint="33"/>
            <w:vAlign w:val="center"/>
          </w:tcPr>
          <w:p w14:paraId="7A34086E" w14:textId="02636A0A" w:rsidR="0058509D" w:rsidRDefault="0058509D" w:rsidP="0058509D">
            <w:r>
              <w:t>Administrative and support service activities</w:t>
            </w:r>
          </w:p>
        </w:tc>
        <w:tc>
          <w:tcPr>
            <w:tcW w:w="1446" w:type="dxa"/>
            <w:gridSpan w:val="3"/>
            <w:vAlign w:val="center"/>
          </w:tcPr>
          <w:p w14:paraId="237ADFF1" w14:textId="2621FA30" w:rsidR="0058509D" w:rsidRDefault="0058509D" w:rsidP="0058509D"/>
        </w:tc>
        <w:tc>
          <w:tcPr>
            <w:tcW w:w="1447" w:type="dxa"/>
            <w:vAlign w:val="center"/>
          </w:tcPr>
          <w:p w14:paraId="1923CA63" w14:textId="1C1F9DAE" w:rsidR="0058509D" w:rsidRDefault="0058509D" w:rsidP="0058509D"/>
        </w:tc>
        <w:tc>
          <w:tcPr>
            <w:tcW w:w="1447" w:type="dxa"/>
            <w:vAlign w:val="center"/>
          </w:tcPr>
          <w:p w14:paraId="45FA0E15" w14:textId="6BAE5A7C" w:rsidR="0058509D" w:rsidRDefault="0058509D" w:rsidP="0058509D"/>
        </w:tc>
      </w:tr>
      <w:tr w:rsidR="0058509D" w14:paraId="1F3A8587" w14:textId="77777777" w:rsidTr="00DD3144">
        <w:trPr>
          <w:trHeight w:val="300"/>
        </w:trPr>
        <w:tc>
          <w:tcPr>
            <w:tcW w:w="1066" w:type="dxa"/>
            <w:vAlign w:val="center"/>
          </w:tcPr>
          <w:p w14:paraId="46EA6AC5" w14:textId="6A0D2951" w:rsidR="0058509D" w:rsidRDefault="0058509D" w:rsidP="0058509D">
            <w:r>
              <w:t>1.3.15</w:t>
            </w:r>
          </w:p>
        </w:tc>
        <w:tc>
          <w:tcPr>
            <w:tcW w:w="5034" w:type="dxa"/>
            <w:gridSpan w:val="3"/>
            <w:shd w:val="clear" w:color="auto" w:fill="DEEAF6" w:themeFill="accent5" w:themeFillTint="33"/>
            <w:vAlign w:val="center"/>
          </w:tcPr>
          <w:p w14:paraId="30EFE834" w14:textId="05F2D8DE" w:rsidR="0058509D" w:rsidRDefault="0058509D" w:rsidP="0058509D">
            <w:r>
              <w:t>Public administration and defense; compulsory social security</w:t>
            </w:r>
          </w:p>
        </w:tc>
        <w:tc>
          <w:tcPr>
            <w:tcW w:w="1446" w:type="dxa"/>
            <w:gridSpan w:val="3"/>
            <w:vAlign w:val="center"/>
          </w:tcPr>
          <w:p w14:paraId="71BC8C94" w14:textId="794BB2C3" w:rsidR="0058509D" w:rsidRDefault="0058509D" w:rsidP="0058509D"/>
        </w:tc>
        <w:tc>
          <w:tcPr>
            <w:tcW w:w="1447" w:type="dxa"/>
            <w:vAlign w:val="center"/>
          </w:tcPr>
          <w:p w14:paraId="7FDE8941" w14:textId="5A713A07" w:rsidR="0058509D" w:rsidRDefault="0058509D" w:rsidP="0058509D"/>
        </w:tc>
        <w:tc>
          <w:tcPr>
            <w:tcW w:w="1447" w:type="dxa"/>
            <w:vAlign w:val="center"/>
          </w:tcPr>
          <w:p w14:paraId="3F0B7211" w14:textId="1AD2280B" w:rsidR="0058509D" w:rsidRDefault="0058509D" w:rsidP="0058509D"/>
        </w:tc>
      </w:tr>
      <w:tr w:rsidR="0058509D" w14:paraId="7F888573" w14:textId="77777777" w:rsidTr="00DD3144">
        <w:trPr>
          <w:trHeight w:val="300"/>
        </w:trPr>
        <w:tc>
          <w:tcPr>
            <w:tcW w:w="1066" w:type="dxa"/>
            <w:vAlign w:val="center"/>
          </w:tcPr>
          <w:p w14:paraId="071DF138" w14:textId="409E50EF" w:rsidR="0058509D" w:rsidRDefault="0058509D" w:rsidP="0058509D">
            <w:r>
              <w:t>1.3.16</w:t>
            </w:r>
          </w:p>
        </w:tc>
        <w:tc>
          <w:tcPr>
            <w:tcW w:w="5034" w:type="dxa"/>
            <w:gridSpan w:val="3"/>
            <w:shd w:val="clear" w:color="auto" w:fill="DEEAF6" w:themeFill="accent5" w:themeFillTint="33"/>
            <w:vAlign w:val="center"/>
          </w:tcPr>
          <w:p w14:paraId="41F5E719" w14:textId="1F253F5F" w:rsidR="0058509D" w:rsidRDefault="0058509D" w:rsidP="0058509D">
            <w:r>
              <w:t>Education</w:t>
            </w:r>
          </w:p>
        </w:tc>
        <w:tc>
          <w:tcPr>
            <w:tcW w:w="1446" w:type="dxa"/>
            <w:gridSpan w:val="3"/>
            <w:vAlign w:val="center"/>
          </w:tcPr>
          <w:p w14:paraId="227A9D61" w14:textId="0087C29B" w:rsidR="0058509D" w:rsidRDefault="0058509D" w:rsidP="0058509D"/>
        </w:tc>
        <w:tc>
          <w:tcPr>
            <w:tcW w:w="1447" w:type="dxa"/>
            <w:vAlign w:val="center"/>
          </w:tcPr>
          <w:p w14:paraId="7471C9BC" w14:textId="5A85CA52" w:rsidR="0058509D" w:rsidRDefault="0058509D" w:rsidP="0058509D"/>
        </w:tc>
        <w:tc>
          <w:tcPr>
            <w:tcW w:w="1447" w:type="dxa"/>
            <w:vAlign w:val="center"/>
          </w:tcPr>
          <w:p w14:paraId="21F3E69C" w14:textId="0B56F9E7" w:rsidR="0058509D" w:rsidRDefault="0058509D" w:rsidP="0058509D"/>
        </w:tc>
      </w:tr>
      <w:tr w:rsidR="0058509D" w14:paraId="60AF9578" w14:textId="77777777" w:rsidTr="00DD3144">
        <w:trPr>
          <w:trHeight w:val="300"/>
        </w:trPr>
        <w:tc>
          <w:tcPr>
            <w:tcW w:w="1066" w:type="dxa"/>
            <w:vAlign w:val="center"/>
          </w:tcPr>
          <w:p w14:paraId="1CCDA1A7" w14:textId="135591CB" w:rsidR="0058509D" w:rsidRDefault="0058509D" w:rsidP="0058509D">
            <w:r>
              <w:t>1.3.17</w:t>
            </w:r>
          </w:p>
        </w:tc>
        <w:tc>
          <w:tcPr>
            <w:tcW w:w="5034" w:type="dxa"/>
            <w:gridSpan w:val="3"/>
            <w:shd w:val="clear" w:color="auto" w:fill="DEEAF6" w:themeFill="accent5" w:themeFillTint="33"/>
            <w:vAlign w:val="center"/>
          </w:tcPr>
          <w:p w14:paraId="216CA443" w14:textId="150495C1" w:rsidR="0058509D" w:rsidRDefault="0058509D" w:rsidP="0058509D">
            <w:r>
              <w:t>Human health and social work activities</w:t>
            </w:r>
          </w:p>
        </w:tc>
        <w:tc>
          <w:tcPr>
            <w:tcW w:w="1446" w:type="dxa"/>
            <w:gridSpan w:val="3"/>
            <w:vAlign w:val="center"/>
          </w:tcPr>
          <w:p w14:paraId="6C711FC7" w14:textId="73416C81" w:rsidR="0058509D" w:rsidRDefault="0058509D" w:rsidP="0058509D"/>
        </w:tc>
        <w:tc>
          <w:tcPr>
            <w:tcW w:w="1447" w:type="dxa"/>
            <w:vAlign w:val="center"/>
          </w:tcPr>
          <w:p w14:paraId="06312F65" w14:textId="503161E4" w:rsidR="0058509D" w:rsidRDefault="0058509D" w:rsidP="0058509D"/>
        </w:tc>
        <w:tc>
          <w:tcPr>
            <w:tcW w:w="1447" w:type="dxa"/>
            <w:vAlign w:val="center"/>
          </w:tcPr>
          <w:p w14:paraId="57EE7A93" w14:textId="22BDC679" w:rsidR="0058509D" w:rsidRDefault="0058509D" w:rsidP="0058509D"/>
        </w:tc>
      </w:tr>
      <w:tr w:rsidR="0058509D" w14:paraId="0110CCD1" w14:textId="77777777" w:rsidTr="00DD3144">
        <w:trPr>
          <w:trHeight w:val="300"/>
        </w:trPr>
        <w:tc>
          <w:tcPr>
            <w:tcW w:w="1066" w:type="dxa"/>
            <w:vAlign w:val="center"/>
          </w:tcPr>
          <w:p w14:paraId="356B1135" w14:textId="60BD4E30" w:rsidR="0058509D" w:rsidRDefault="0058509D" w:rsidP="0058509D">
            <w:r>
              <w:t>1.3.18</w:t>
            </w:r>
          </w:p>
        </w:tc>
        <w:tc>
          <w:tcPr>
            <w:tcW w:w="5034" w:type="dxa"/>
            <w:gridSpan w:val="3"/>
            <w:shd w:val="clear" w:color="auto" w:fill="DEEAF6" w:themeFill="accent5" w:themeFillTint="33"/>
            <w:vAlign w:val="center"/>
          </w:tcPr>
          <w:p w14:paraId="30AB42BB" w14:textId="678966D0" w:rsidR="0058509D" w:rsidRDefault="0058509D" w:rsidP="0058509D">
            <w:r>
              <w:t>Arts, entertainment and recreation</w:t>
            </w:r>
          </w:p>
        </w:tc>
        <w:tc>
          <w:tcPr>
            <w:tcW w:w="1446" w:type="dxa"/>
            <w:gridSpan w:val="3"/>
            <w:vAlign w:val="center"/>
          </w:tcPr>
          <w:p w14:paraId="61A1E4C8" w14:textId="2FEC738C" w:rsidR="0058509D" w:rsidRDefault="0058509D" w:rsidP="0058509D"/>
        </w:tc>
        <w:tc>
          <w:tcPr>
            <w:tcW w:w="1447" w:type="dxa"/>
            <w:vAlign w:val="center"/>
          </w:tcPr>
          <w:p w14:paraId="00475A91" w14:textId="791F9D60" w:rsidR="0058509D" w:rsidRDefault="0058509D" w:rsidP="0058509D"/>
        </w:tc>
        <w:tc>
          <w:tcPr>
            <w:tcW w:w="1447" w:type="dxa"/>
            <w:vAlign w:val="center"/>
          </w:tcPr>
          <w:p w14:paraId="466C03A6" w14:textId="6573C23B" w:rsidR="0058509D" w:rsidRDefault="0058509D" w:rsidP="0058509D"/>
        </w:tc>
      </w:tr>
      <w:tr w:rsidR="0058509D" w14:paraId="64C2CEDB" w14:textId="77777777" w:rsidTr="00DD3144">
        <w:trPr>
          <w:trHeight w:val="300"/>
        </w:trPr>
        <w:tc>
          <w:tcPr>
            <w:tcW w:w="1066" w:type="dxa"/>
            <w:vAlign w:val="center"/>
          </w:tcPr>
          <w:p w14:paraId="2208DDF2" w14:textId="4EB2905E" w:rsidR="0058509D" w:rsidRDefault="0058509D" w:rsidP="0058509D">
            <w:r>
              <w:t>1.3.19</w:t>
            </w:r>
          </w:p>
        </w:tc>
        <w:tc>
          <w:tcPr>
            <w:tcW w:w="5034" w:type="dxa"/>
            <w:gridSpan w:val="3"/>
            <w:shd w:val="clear" w:color="auto" w:fill="DEEAF6" w:themeFill="accent5" w:themeFillTint="33"/>
            <w:vAlign w:val="center"/>
          </w:tcPr>
          <w:p w14:paraId="5FA0093A" w14:textId="210C5B2D" w:rsidR="0058509D" w:rsidRDefault="0058509D" w:rsidP="0058509D">
            <w:r>
              <w:t>Other service activities</w:t>
            </w:r>
          </w:p>
        </w:tc>
        <w:tc>
          <w:tcPr>
            <w:tcW w:w="1446" w:type="dxa"/>
            <w:gridSpan w:val="3"/>
            <w:vAlign w:val="center"/>
          </w:tcPr>
          <w:p w14:paraId="1D997F3C" w14:textId="0D8A5EA4" w:rsidR="0058509D" w:rsidRDefault="0058509D" w:rsidP="0058509D"/>
        </w:tc>
        <w:tc>
          <w:tcPr>
            <w:tcW w:w="1447" w:type="dxa"/>
            <w:vAlign w:val="center"/>
          </w:tcPr>
          <w:p w14:paraId="3B44F1FE" w14:textId="39F41797" w:rsidR="0058509D" w:rsidRDefault="0058509D" w:rsidP="0058509D"/>
        </w:tc>
        <w:tc>
          <w:tcPr>
            <w:tcW w:w="1447" w:type="dxa"/>
            <w:vAlign w:val="center"/>
          </w:tcPr>
          <w:p w14:paraId="6FEF5197" w14:textId="24EF4D11" w:rsidR="0058509D" w:rsidRDefault="0058509D" w:rsidP="0058509D"/>
        </w:tc>
      </w:tr>
      <w:tr w:rsidR="0058509D" w14:paraId="7E7A95BE" w14:textId="77777777" w:rsidTr="00DD3144">
        <w:trPr>
          <w:trHeight w:val="300"/>
        </w:trPr>
        <w:tc>
          <w:tcPr>
            <w:tcW w:w="1066" w:type="dxa"/>
            <w:vAlign w:val="center"/>
          </w:tcPr>
          <w:p w14:paraId="1DDAD1D4" w14:textId="3BA261BA" w:rsidR="0058509D" w:rsidRDefault="0058509D" w:rsidP="0058509D">
            <w:r>
              <w:t>1.3.20</w:t>
            </w:r>
          </w:p>
        </w:tc>
        <w:tc>
          <w:tcPr>
            <w:tcW w:w="5034" w:type="dxa"/>
            <w:gridSpan w:val="3"/>
            <w:shd w:val="clear" w:color="auto" w:fill="DEEAF6" w:themeFill="accent5" w:themeFillTint="33"/>
            <w:vAlign w:val="center"/>
          </w:tcPr>
          <w:p w14:paraId="16BABFBF" w14:textId="4B4F2681" w:rsidR="0058509D" w:rsidRDefault="0058509D" w:rsidP="0058509D">
            <w:r>
              <w:t>Activities of households as employers; undifferentiated goods-and services-producing activities of households for own use</w:t>
            </w:r>
          </w:p>
        </w:tc>
        <w:tc>
          <w:tcPr>
            <w:tcW w:w="1446" w:type="dxa"/>
            <w:gridSpan w:val="3"/>
            <w:vAlign w:val="center"/>
          </w:tcPr>
          <w:p w14:paraId="2B9B8451" w14:textId="6C2B0106" w:rsidR="0058509D" w:rsidRDefault="0058509D" w:rsidP="0058509D"/>
        </w:tc>
        <w:tc>
          <w:tcPr>
            <w:tcW w:w="1447" w:type="dxa"/>
            <w:vAlign w:val="center"/>
          </w:tcPr>
          <w:p w14:paraId="7E535AB4" w14:textId="3BFEEB1B" w:rsidR="0058509D" w:rsidRDefault="0058509D" w:rsidP="0058509D"/>
        </w:tc>
        <w:tc>
          <w:tcPr>
            <w:tcW w:w="1447" w:type="dxa"/>
            <w:vAlign w:val="center"/>
          </w:tcPr>
          <w:p w14:paraId="52E1EA86" w14:textId="0B6C53C7" w:rsidR="0058509D" w:rsidRDefault="0058509D" w:rsidP="0058509D"/>
        </w:tc>
      </w:tr>
      <w:tr w:rsidR="0058509D" w14:paraId="74F9274B" w14:textId="77777777" w:rsidTr="00DD3144">
        <w:trPr>
          <w:trHeight w:val="300"/>
        </w:trPr>
        <w:tc>
          <w:tcPr>
            <w:tcW w:w="1066" w:type="dxa"/>
            <w:vAlign w:val="center"/>
          </w:tcPr>
          <w:p w14:paraId="5F895C40" w14:textId="6B439338" w:rsidR="0058509D" w:rsidRDefault="0058509D" w:rsidP="0058509D">
            <w:r>
              <w:t>1.3.21</w:t>
            </w:r>
          </w:p>
        </w:tc>
        <w:tc>
          <w:tcPr>
            <w:tcW w:w="5034" w:type="dxa"/>
            <w:gridSpan w:val="3"/>
            <w:shd w:val="clear" w:color="auto" w:fill="DEEAF6" w:themeFill="accent5" w:themeFillTint="33"/>
            <w:vAlign w:val="center"/>
          </w:tcPr>
          <w:p w14:paraId="75118B66" w14:textId="42574E52" w:rsidR="0058509D" w:rsidRDefault="0058509D" w:rsidP="0058509D">
            <w:r>
              <w:t>Activities of extraterritorial organizations and bodies</w:t>
            </w:r>
          </w:p>
        </w:tc>
        <w:tc>
          <w:tcPr>
            <w:tcW w:w="1446" w:type="dxa"/>
            <w:gridSpan w:val="3"/>
            <w:vAlign w:val="center"/>
          </w:tcPr>
          <w:p w14:paraId="3186DBF0" w14:textId="4D7BC9A0" w:rsidR="0058509D" w:rsidRDefault="0058509D" w:rsidP="0058509D"/>
        </w:tc>
        <w:tc>
          <w:tcPr>
            <w:tcW w:w="1447" w:type="dxa"/>
            <w:vAlign w:val="center"/>
          </w:tcPr>
          <w:p w14:paraId="48FE699A" w14:textId="7A742FF7" w:rsidR="0058509D" w:rsidRDefault="0058509D" w:rsidP="0058509D"/>
        </w:tc>
        <w:tc>
          <w:tcPr>
            <w:tcW w:w="1447" w:type="dxa"/>
            <w:vAlign w:val="center"/>
          </w:tcPr>
          <w:p w14:paraId="4C41A83C" w14:textId="55D6C186" w:rsidR="0058509D" w:rsidRDefault="0058509D" w:rsidP="0058509D"/>
        </w:tc>
      </w:tr>
      <w:tr w:rsidR="0058509D" w14:paraId="2FF8E993" w14:textId="77777777" w:rsidTr="00DD3144">
        <w:trPr>
          <w:trHeight w:val="22"/>
        </w:trPr>
        <w:tc>
          <w:tcPr>
            <w:tcW w:w="1066" w:type="dxa"/>
            <w:vAlign w:val="center"/>
          </w:tcPr>
          <w:p w14:paraId="65A88C06" w14:textId="7807BE81" w:rsidR="0058509D" w:rsidRDefault="0058509D" w:rsidP="0058509D">
            <w:r>
              <w:t>1.3.22</w:t>
            </w:r>
          </w:p>
        </w:tc>
        <w:tc>
          <w:tcPr>
            <w:tcW w:w="5034" w:type="dxa"/>
            <w:gridSpan w:val="3"/>
            <w:shd w:val="clear" w:color="auto" w:fill="DEEAF6" w:themeFill="accent5" w:themeFillTint="33"/>
            <w:vAlign w:val="center"/>
          </w:tcPr>
          <w:p w14:paraId="6E24EBC6" w14:textId="57A60F6D" w:rsidR="0058509D" w:rsidRDefault="0058509D" w:rsidP="0058509D">
            <w:r>
              <w:t xml:space="preserve"> Other</w:t>
            </w:r>
          </w:p>
        </w:tc>
        <w:tc>
          <w:tcPr>
            <w:tcW w:w="1446" w:type="dxa"/>
            <w:gridSpan w:val="3"/>
            <w:vAlign w:val="center"/>
          </w:tcPr>
          <w:p w14:paraId="19760763" w14:textId="77777777" w:rsidR="0058509D" w:rsidRDefault="0058509D" w:rsidP="0058509D"/>
        </w:tc>
        <w:tc>
          <w:tcPr>
            <w:tcW w:w="1447" w:type="dxa"/>
            <w:vAlign w:val="center"/>
          </w:tcPr>
          <w:p w14:paraId="60062F90" w14:textId="77777777" w:rsidR="0058509D" w:rsidRDefault="0058509D" w:rsidP="0058509D"/>
        </w:tc>
        <w:tc>
          <w:tcPr>
            <w:tcW w:w="1447" w:type="dxa"/>
            <w:vAlign w:val="center"/>
          </w:tcPr>
          <w:p w14:paraId="0E10A790" w14:textId="0953041B" w:rsidR="0058509D" w:rsidRDefault="0058509D" w:rsidP="0058509D"/>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39907CA1" w14:textId="62290B65" w:rsidR="001607BD" w:rsidRDefault="001607BD" w:rsidP="00DD3144">
            <w:r>
              <w:t>Targeted entities are those that are a “covered entity” or a “reporting entity”, as defined within the policy tool.</w:t>
            </w:r>
          </w:p>
          <w:p w14:paraId="0C1F8157" w14:textId="77777777" w:rsidR="0039223F" w:rsidRDefault="001607BD" w:rsidP="00DD3144">
            <w:r>
              <w:t>Section 38532(b)(2) defines “</w:t>
            </w:r>
            <w:r w:rsidRPr="001607BD">
              <w:t xml:space="preserve">Reporting entity" </w:t>
            </w:r>
            <w:r>
              <w:t>to mean “</w:t>
            </w:r>
            <w:r w:rsidRPr="001607BD">
              <w:t>a partnership, corporation, limited liability company, or other business entity formed under the laws of this state, the laws of any other state of the United States or the District of Columbia, or under an act of the Congress of the United States with total annual revenues in excess of one billion dollars ($1,000,000,000) and that does business in California. Applicability shall be determined based on the reporting entity's revenue for the prior fiscal year</w:t>
            </w:r>
            <w:r>
              <w:t xml:space="preserve">”. Section </w:t>
            </w:r>
            <w:r w:rsidRPr="001607BD">
              <w:t>38533</w:t>
            </w:r>
            <w:r>
              <w:t xml:space="preserve"> (a)</w:t>
            </w:r>
            <w:r w:rsidRPr="001607BD">
              <w:t xml:space="preserve">(4) </w:t>
            </w:r>
            <w:r>
              <w:t xml:space="preserve">defines </w:t>
            </w:r>
            <w:r w:rsidRPr="001607BD">
              <w:t>"Covered entity"</w:t>
            </w:r>
            <w:r>
              <w:t xml:space="preserve"> to mean “</w:t>
            </w:r>
            <w:r w:rsidRPr="001607BD">
              <w:t xml:space="preserve">a corporation, partnership, limited liability company, or other business entity formed under the laws of the state, the laws of any other state of the United States or the District of Columbia, or under an act of the Congress of the United States with total annual revenues in excess of five hundred million United States dollars ($500,000,000) and that does business in California. Applicability shall be determined based on the business entity's revenue for the prior fiscal year. "Covered entity" does not include a business entity that is subject to </w:t>
            </w:r>
            <w:r w:rsidRPr="001607BD">
              <w:lastRenderedPageBreak/>
              <w:t>regulation by the Department of Insurance in this state, or that is in the business of insurance in any other state</w:t>
            </w:r>
            <w:r>
              <w:t>”.</w:t>
            </w:r>
          </w:p>
          <w:p w14:paraId="020308A1" w14:textId="4D2DE7CE" w:rsidR="001607BD" w:rsidRDefault="007D771D" w:rsidP="00DD3144">
            <w:r>
              <w:t xml:space="preserve">While 1.3.11 (Financial and Insurance Activities) is selected above, only financial activities are affected, as entities in the business of insurance are not considered covered entities as per Section </w:t>
            </w:r>
            <w:r w:rsidRPr="001607BD">
              <w:t>38533</w:t>
            </w:r>
            <w:r>
              <w:t xml:space="preserve"> (a)</w:t>
            </w:r>
            <w:r w:rsidRPr="001607BD">
              <w:t>(4)</w:t>
            </w:r>
            <w:r>
              <w: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39B4FFA1" w:rsidR="00524D54" w:rsidRPr="003577A4" w:rsidRDefault="007D771D" w:rsidP="00DD3144">
            <w:r>
              <w:t>See description of covered entities and reporting entities above in section 1.5.</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133280C6" w:rsidR="00576ED8" w:rsidRDefault="000F5037"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382D9F0" w:rsidR="00911F20" w:rsidRDefault="000F5037"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lastRenderedPageBreak/>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3BB0E6C8" w14:textId="77777777" w:rsidR="000F5037" w:rsidRDefault="000F5037" w:rsidP="00DD3144">
            <w:r>
              <w:t>The policies pertaining to non-compliance are described in the following sections:</w:t>
            </w:r>
          </w:p>
          <w:p w14:paraId="3AEAEF6C" w14:textId="646FF56A" w:rsidR="009C4798" w:rsidRDefault="000F5037" w:rsidP="000F5037">
            <w:pPr>
              <w:pStyle w:val="ListParagraph"/>
              <w:numPr>
                <w:ilvl w:val="0"/>
                <w:numId w:val="50"/>
              </w:numPr>
            </w:pPr>
            <w:r>
              <w:t xml:space="preserve">Section </w:t>
            </w:r>
            <w:r w:rsidRPr="000F5037">
              <w:t xml:space="preserve">38533 </w:t>
            </w:r>
            <w:r>
              <w:t>(f)</w:t>
            </w:r>
            <w:r w:rsidRPr="000F5037">
              <w:t xml:space="preserve">(2) </w:t>
            </w:r>
            <w:r>
              <w:t>says “</w:t>
            </w:r>
            <w:r w:rsidRPr="000F5037">
              <w:t>The state board shall adopt regulations that authorize it to seek administrative penalties from a covered entity that fails to make the report required by this section publicly available on its internet website or publishes an inadequate or insufficient report. The administrative penalties authorized by this section shall be imposed and recovered by the state board in administrative hearings conducted pursuant to Article 3 (commencing with Section 60065.1) and Article 4 (commencing with Section 60075.1) of Subchapter 1.25 of Chapter 1 of Division 3 of Title 17 of the California Code of Regulations. The administrative penalties imposed on a reporting entity shall not exceed fifty thousand dollars ($50,000) in a reporting year. In imposing penalties for a violation of this section, the state board shall consider all relevant circumstances, including both of the following: (A) The violator's past and present compliance with this section</w:t>
            </w:r>
            <w:r>
              <w:t>” and</w:t>
            </w:r>
            <w:r w:rsidRPr="000F5037">
              <w:t xml:space="preserve"> </w:t>
            </w:r>
            <w:r>
              <w:t>“</w:t>
            </w:r>
            <w:r w:rsidRPr="000F5037">
              <w:t>(B) Whether the violator took good faith measures to comply with this section and when those measures were taken</w:t>
            </w:r>
            <w:r>
              <w:t>”</w:t>
            </w:r>
          </w:p>
          <w:p w14:paraId="6475235A" w14:textId="7BE59C1D" w:rsidR="000F5037" w:rsidRDefault="000F5037" w:rsidP="000F5037">
            <w:pPr>
              <w:pStyle w:val="ListParagraph"/>
              <w:numPr>
                <w:ilvl w:val="0"/>
                <w:numId w:val="50"/>
              </w:numPr>
            </w:pPr>
            <w:r>
              <w:t xml:space="preserve">Section </w:t>
            </w:r>
            <w:r w:rsidRPr="000F5037">
              <w:t>38532</w:t>
            </w:r>
            <w:r>
              <w:t xml:space="preserve"> (f)(2)(A)(</w:t>
            </w:r>
            <w:proofErr w:type="spellStart"/>
            <w:r>
              <w:t>i</w:t>
            </w:r>
            <w:proofErr w:type="spellEnd"/>
            <w:r>
              <w:t>) says “</w:t>
            </w:r>
            <w:r w:rsidRPr="000F5037">
              <w:t xml:space="preserve">The state board shall adopt regulations that authorize it to seek administrative penalties for </w:t>
            </w:r>
            <w:proofErr w:type="spellStart"/>
            <w:r w:rsidRPr="000F5037">
              <w:t>nonfiling</w:t>
            </w:r>
            <w:proofErr w:type="spellEnd"/>
            <w:r w:rsidRPr="000F5037">
              <w:t>, late filing, or other failure to meet the requirements of this section. The administrative penalties authorized by this section shall be imposed and recovered by the state board in administrative hearings conducted pursuant to Article 3 (commencing with Section 60065.1) and Article 4 (commencing with Section 60075.1) of Subchapter 1.25 of Chapter 1 of Division 3 of Title 17 of the California Code of Regulations. The administrative penalties imposed on a reporting entity shall not exceed five hundred thousand dollars ($500,000) in a reporting year. In imposing penalties for a violation of this section, the state board shall consider all relevant circumstances, including both of the following: (</w:t>
            </w:r>
            <w:proofErr w:type="spellStart"/>
            <w:r w:rsidRPr="000F5037">
              <w:t>i</w:t>
            </w:r>
            <w:proofErr w:type="spellEnd"/>
            <w:r w:rsidRPr="000F5037">
              <w:t>) The violator's past and present compliance with this section</w:t>
            </w:r>
            <w:r>
              <w:t>” and “</w:t>
            </w:r>
            <w:r w:rsidRPr="000F5037">
              <w:t>(ii) Whether the violator took good faith measures to comply with this section and when those measures were taken</w:t>
            </w:r>
            <w:r>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lastRenderedPageBreak/>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DC7662C"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65A79DB8"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3BD779BE"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2C91B89" w:rsidR="00CB1649" w:rsidRPr="00FA0CF8" w:rsidRDefault="00E4425D"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28324E6F" w:rsidR="008063B5" w:rsidRDefault="00E4425D" w:rsidP="00DD3144">
            <w:pPr>
              <w:spacing w:line="276" w:lineRule="auto"/>
              <w:rPr>
                <w:color w:val="000000" w:themeColor="text1"/>
              </w:rPr>
            </w:pPr>
            <w:r>
              <w:rPr>
                <w:color w:val="000000" w:themeColor="text1"/>
              </w:rPr>
              <w:t>X</w:t>
            </w: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6E235422" w14:textId="2061D548" w:rsidR="008063B5" w:rsidRDefault="00E4425D" w:rsidP="00DD3144">
            <w:pPr>
              <w:spacing w:line="276" w:lineRule="auto"/>
              <w:rPr>
                <w:color w:val="000000" w:themeColor="text1"/>
              </w:rPr>
            </w:pPr>
            <w:r>
              <w:rPr>
                <w:color w:val="000000" w:themeColor="text1"/>
              </w:rPr>
              <w:t xml:space="preserve">In </w:t>
            </w:r>
            <w:r w:rsidR="00BB2F92" w:rsidRPr="00BB2F92">
              <w:rPr>
                <w:i/>
                <w:iCs/>
                <w:color w:val="000000" w:themeColor="text1"/>
              </w:rPr>
              <w:t>Chamber of Commerce of the United States of America et al. v. California Air Resources Board et al.,</w:t>
            </w:r>
            <w:r w:rsidR="00BB2F92">
              <w:rPr>
                <w:i/>
                <w:iCs/>
                <w:color w:val="000000" w:themeColor="text1"/>
              </w:rPr>
              <w:t xml:space="preserve"> </w:t>
            </w:r>
            <w:r w:rsidR="00BB2F92">
              <w:rPr>
                <w:color w:val="000000" w:themeColor="text1"/>
              </w:rPr>
              <w:t>the plaintiffs (including the US Chamber of Commerce and the California Chamber of Commerce) brought</w:t>
            </w:r>
            <w:r w:rsidR="00B63A09">
              <w:rPr>
                <w:color w:val="000000" w:themeColor="text1"/>
              </w:rPr>
              <w:t xml:space="preserve"> the</w:t>
            </w:r>
            <w:r w:rsidR="00BB2F92">
              <w:rPr>
                <w:color w:val="000000" w:themeColor="text1"/>
              </w:rPr>
              <w:t xml:space="preserve"> </w:t>
            </w:r>
            <w:r w:rsidR="00A6703B">
              <w:rPr>
                <w:color w:val="000000" w:themeColor="text1"/>
              </w:rPr>
              <w:t xml:space="preserve">suit </w:t>
            </w:r>
            <w:r w:rsidR="00BB2F92">
              <w:rPr>
                <w:color w:val="000000" w:themeColor="text1"/>
              </w:rPr>
              <w:t xml:space="preserve">against the State of California and the California Air Resources Board </w:t>
            </w:r>
            <w:r w:rsidR="00A6703B">
              <w:rPr>
                <w:color w:val="000000" w:themeColor="text1"/>
              </w:rPr>
              <w:t xml:space="preserve">before the </w:t>
            </w:r>
            <w:r w:rsidR="00BB2F92" w:rsidRPr="00BB2F92">
              <w:rPr>
                <w:color w:val="000000" w:themeColor="text1"/>
              </w:rPr>
              <w:t>US District Court for the Central District of California</w:t>
            </w:r>
            <w:r w:rsidR="00BB2F92">
              <w:rPr>
                <w:color w:val="000000" w:themeColor="text1"/>
              </w:rPr>
              <w:t xml:space="preserve">. </w:t>
            </w:r>
            <w:r w:rsidR="005D6FD3">
              <w:rPr>
                <w:color w:val="000000" w:themeColor="text1"/>
              </w:rPr>
              <w:t>P</w:t>
            </w:r>
            <w:r w:rsidR="00BB2F92">
              <w:rPr>
                <w:color w:val="000000" w:themeColor="text1"/>
              </w:rPr>
              <w:t xml:space="preserve">laintiffs alleged that SB 253 and </w:t>
            </w:r>
            <w:proofErr w:type="spellStart"/>
            <w:r w:rsidR="00BB2F92">
              <w:rPr>
                <w:color w:val="000000" w:themeColor="text1"/>
              </w:rPr>
              <w:t>SB261</w:t>
            </w:r>
            <w:proofErr w:type="spellEnd"/>
            <w:r w:rsidR="00BB2F92">
              <w:rPr>
                <w:color w:val="000000" w:themeColor="text1"/>
              </w:rPr>
              <w:t xml:space="preserve"> violate the First Amendment, violate the Supremacy Clause, and violate limits on extraterritorial regulation. </w:t>
            </w:r>
            <w:r w:rsidR="00AB6B1B">
              <w:rPr>
                <w:color w:val="000000" w:themeColor="text1"/>
              </w:rPr>
              <w:t xml:space="preserve">Judge Wright </w:t>
            </w:r>
            <w:r w:rsidR="00AB6B1B" w:rsidRPr="00AB6B1B">
              <w:rPr>
                <w:color w:val="000000" w:themeColor="text1"/>
              </w:rPr>
              <w:t xml:space="preserve">granted the State of California’s motion to defer summary judgment </w:t>
            </w:r>
            <w:r w:rsidR="00AB6B1B">
              <w:rPr>
                <w:color w:val="000000" w:themeColor="text1"/>
              </w:rPr>
              <w:t xml:space="preserve">in response to the plaintiffs’ motion for summary </w:t>
            </w:r>
            <w:r w:rsidR="00AB6B1B">
              <w:rPr>
                <w:color w:val="000000" w:themeColor="text1"/>
              </w:rPr>
              <w:lastRenderedPageBreak/>
              <w:t xml:space="preserve">judgment </w:t>
            </w:r>
            <w:r w:rsidR="00AB6B1B" w:rsidRPr="00AB6B1B">
              <w:rPr>
                <w:color w:val="000000" w:themeColor="text1"/>
              </w:rPr>
              <w:t>on the First Amendment claim</w:t>
            </w:r>
            <w:r w:rsidR="00AB6B1B">
              <w:rPr>
                <w:color w:val="000000" w:themeColor="text1"/>
              </w:rPr>
              <w:t xml:space="preserve">. The Court </w:t>
            </w:r>
            <w:r w:rsidR="00D43890">
              <w:rPr>
                <w:color w:val="000000" w:themeColor="text1"/>
              </w:rPr>
              <w:t>determined</w:t>
            </w:r>
            <w:r w:rsidR="00AB6B1B">
              <w:rPr>
                <w:color w:val="000000" w:themeColor="text1"/>
              </w:rPr>
              <w:t xml:space="preserve"> that </w:t>
            </w:r>
            <w:r w:rsidR="00AB6B1B" w:rsidRPr="00AB6B1B">
              <w:rPr>
                <w:color w:val="000000" w:themeColor="text1"/>
              </w:rPr>
              <w:t>discovery is necessary to evaluate whether the laws com</w:t>
            </w:r>
            <w:r w:rsidR="00AB6B1B">
              <w:rPr>
                <w:color w:val="000000" w:themeColor="text1"/>
              </w:rPr>
              <w:t xml:space="preserve">ply </w:t>
            </w:r>
            <w:r w:rsidR="00AB6B1B" w:rsidRPr="00AB6B1B">
              <w:rPr>
                <w:color w:val="000000" w:themeColor="text1"/>
              </w:rPr>
              <w:t>with the First Amendment</w:t>
            </w:r>
            <w:r w:rsidR="00AB6B1B">
              <w:rPr>
                <w:color w:val="000000" w:themeColor="text1"/>
              </w:rPr>
              <w:t xml:space="preserve">. The case remains ongoing. </w:t>
            </w:r>
          </w:p>
          <w:p w14:paraId="5B6A60E1" w14:textId="60B457D3" w:rsidR="00AB6B1B" w:rsidRDefault="0058509D" w:rsidP="00DD3144">
            <w:pPr>
              <w:spacing w:line="276" w:lineRule="auto"/>
              <w:rPr>
                <w:color w:val="000000" w:themeColor="text1"/>
              </w:rPr>
            </w:pPr>
            <w:hyperlink r:id="rId21" w:history="1">
              <w:r w:rsidRPr="0058509D">
                <w:rPr>
                  <w:rStyle w:val="Hyperlink"/>
                </w:rPr>
                <w:t>/web/20250614225741/https://law.justia.com/cases/federal/district-courts/california/cacdce/2:2024cv00801/912952/77/</w:t>
              </w:r>
            </w:hyperlink>
          </w:p>
          <w:p w14:paraId="1AD00030" w14:textId="48EA0315" w:rsidR="00AB6B1B" w:rsidRPr="00BB2F92" w:rsidRDefault="008144E2" w:rsidP="00DD3144">
            <w:pPr>
              <w:spacing w:line="276" w:lineRule="auto"/>
              <w:rPr>
                <w:color w:val="000000" w:themeColor="text1"/>
              </w:rPr>
            </w:pPr>
            <w:hyperlink r:id="rId22" w:history="1">
              <w:r w:rsidRPr="008144E2">
                <w:rPr>
                  <w:rStyle w:val="Hyperlink"/>
                </w:rPr>
                <w:t>/web/20250614225914/https://www.globalelr.com/2024/11/litigation-over-californias-climate-disclosure-laws-continues-to-discovery-phase/</w:t>
              </w:r>
            </w:hyperlink>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112160">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112160">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112160">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22EDB1BC" w:rsidR="00042406" w:rsidRDefault="00AB6B1B" w:rsidP="00DD3144">
            <w:r>
              <w:t>X</w:t>
            </w:r>
          </w:p>
        </w:tc>
        <w:tc>
          <w:tcPr>
            <w:tcW w:w="3323" w:type="dxa"/>
            <w:vAlign w:val="center"/>
          </w:tcPr>
          <w:p w14:paraId="0D7B8554" w14:textId="77777777" w:rsidR="00042406" w:rsidRDefault="00042406" w:rsidP="00DD3144"/>
        </w:tc>
      </w:tr>
      <w:tr w:rsidR="004C6739" w14:paraId="3C2151B2" w14:textId="77777777" w:rsidTr="00112160">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65E82442" w:rsidR="00042406" w:rsidRDefault="000C121F" w:rsidP="00DD3144">
            <w:r>
              <w:t>X</w:t>
            </w:r>
          </w:p>
        </w:tc>
      </w:tr>
      <w:tr w:rsidR="004C6739" w14:paraId="3D028064" w14:textId="77777777" w:rsidTr="00112160">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15C3F064" w:rsidR="00042406" w:rsidRDefault="000C121F" w:rsidP="00DD3144">
            <w:r>
              <w:t>X</w:t>
            </w:r>
          </w:p>
        </w:tc>
      </w:tr>
      <w:tr w:rsidR="004C6739" w14:paraId="3C6AE41B" w14:textId="77777777" w:rsidTr="00112160">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18E9DBD6" w:rsidR="00042406" w:rsidRDefault="000C121F" w:rsidP="00DD3144">
            <w:r>
              <w:t>X</w:t>
            </w:r>
          </w:p>
        </w:tc>
      </w:tr>
      <w:tr w:rsidR="004C6739" w14:paraId="4D444617" w14:textId="77777777" w:rsidTr="00112160">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252441D0" w:rsidR="00042406" w:rsidRDefault="000C121F" w:rsidP="00DD3144">
            <w:r>
              <w:t>X</w:t>
            </w:r>
          </w:p>
        </w:tc>
        <w:tc>
          <w:tcPr>
            <w:tcW w:w="3323" w:type="dxa"/>
            <w:vAlign w:val="center"/>
          </w:tcPr>
          <w:p w14:paraId="64DEAA9D" w14:textId="77777777" w:rsidR="00042406" w:rsidRDefault="00042406" w:rsidP="00DD3144"/>
        </w:tc>
      </w:tr>
      <w:tr w:rsidR="004C6739" w14:paraId="59F69D34" w14:textId="77777777" w:rsidTr="00112160">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AFD9104" w:rsidR="00042406" w:rsidRDefault="000C121F" w:rsidP="00DD3144">
            <w:r>
              <w:t>X</w:t>
            </w:r>
          </w:p>
        </w:tc>
        <w:tc>
          <w:tcPr>
            <w:tcW w:w="3323" w:type="dxa"/>
            <w:vAlign w:val="center"/>
          </w:tcPr>
          <w:p w14:paraId="0BF1E54E" w14:textId="77777777" w:rsidR="00042406" w:rsidRDefault="00042406" w:rsidP="00DD3144"/>
        </w:tc>
      </w:tr>
      <w:tr w:rsidR="004C6739" w14:paraId="04F9F37D" w14:textId="77777777" w:rsidTr="00112160">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55538762" w:rsidR="00042406" w:rsidRDefault="00042406" w:rsidP="00DD3144"/>
        </w:tc>
        <w:tc>
          <w:tcPr>
            <w:tcW w:w="3323" w:type="dxa"/>
            <w:vAlign w:val="center"/>
          </w:tcPr>
          <w:p w14:paraId="24A26498" w14:textId="007D944C" w:rsidR="00042406" w:rsidRDefault="0075395A" w:rsidP="00DD3144">
            <w:r>
              <w:t>X</w:t>
            </w:r>
          </w:p>
        </w:tc>
      </w:tr>
      <w:tr w:rsidR="00931F08" w14:paraId="65209187" w14:textId="77777777" w:rsidTr="00112160">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112160">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112160">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112160">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112160">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112160">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112160">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112160">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77777777" w:rsidR="00931F08" w:rsidRDefault="00931F08" w:rsidP="00DD3144"/>
        </w:tc>
      </w:tr>
      <w:tr w:rsidR="00931F08" w14:paraId="3F5D732A" w14:textId="77777777" w:rsidTr="00112160">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112160">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112160">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112160">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112160">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112160">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112160">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112160">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3340FF90" w:rsidR="00B0479E" w:rsidRPr="00F75058" w:rsidRDefault="0040774E" w:rsidP="00DD3144">
            <w:pPr>
              <w:rPr>
                <w:rFonts w:ascii="Calibri" w:hAnsi="Calibri" w:cs="Calibri"/>
              </w:rPr>
            </w:pPr>
            <w:r>
              <w:rPr>
                <w:rFonts w:ascii="Calibri" w:hAnsi="Calibri" w:cs="Calibri"/>
              </w:rPr>
              <w:t>X</w:t>
            </w:r>
          </w:p>
        </w:tc>
      </w:tr>
      <w:tr w:rsidR="00B0479E" w14:paraId="6C3C8154" w14:textId="77777777" w:rsidTr="00112160">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5F98F594" w:rsidR="00B0479E" w:rsidRPr="00F75058" w:rsidRDefault="0040774E" w:rsidP="00DD3144">
            <w:pPr>
              <w:rPr>
                <w:rFonts w:ascii="Calibri" w:hAnsi="Calibri" w:cs="Calibri"/>
              </w:rPr>
            </w:pPr>
            <w:r>
              <w:rPr>
                <w:rFonts w:ascii="Calibri" w:hAnsi="Calibri" w:cs="Calibri"/>
              </w:rPr>
              <w:t>X</w:t>
            </w:r>
          </w:p>
        </w:tc>
      </w:tr>
      <w:tr w:rsidR="00B0479E" w14:paraId="0A7E96EF" w14:textId="77777777" w:rsidTr="00112160">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0A12066F" w:rsidR="00B0479E" w:rsidRPr="00F75058" w:rsidRDefault="0040774E" w:rsidP="00DD3144">
            <w:pPr>
              <w:rPr>
                <w:rFonts w:ascii="Calibri" w:hAnsi="Calibri" w:cs="Calibri"/>
              </w:rPr>
            </w:pPr>
            <w:r>
              <w:rPr>
                <w:rFonts w:ascii="Calibri" w:hAnsi="Calibri" w:cs="Calibri"/>
              </w:rPr>
              <w:t>X</w:t>
            </w:r>
          </w:p>
        </w:tc>
      </w:tr>
      <w:tr w:rsidR="00B0479E" w14:paraId="76FF70E2" w14:textId="77777777" w:rsidTr="00112160">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302BEBF" w:rsidR="00B0479E" w:rsidRPr="00F75058" w:rsidRDefault="0040774E" w:rsidP="00DD3144">
            <w:pPr>
              <w:rPr>
                <w:rFonts w:ascii="Calibri" w:hAnsi="Calibri" w:cs="Calibri"/>
              </w:rPr>
            </w:pPr>
            <w:r>
              <w:rPr>
                <w:rFonts w:ascii="Calibri" w:hAnsi="Calibri" w:cs="Calibri"/>
              </w:rPr>
              <w:t>X</w:t>
            </w:r>
          </w:p>
        </w:tc>
      </w:tr>
      <w:tr w:rsidR="00B0479E" w14:paraId="46E87FE1" w14:textId="77777777" w:rsidTr="00112160">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708D97BA" w:rsidR="00B0479E" w:rsidRPr="00F75058" w:rsidRDefault="0040774E" w:rsidP="00DD3144">
            <w:pPr>
              <w:rPr>
                <w:rFonts w:ascii="Calibri" w:hAnsi="Calibri" w:cs="Calibri"/>
              </w:rPr>
            </w:pPr>
            <w:r>
              <w:rPr>
                <w:rFonts w:ascii="Calibri" w:hAnsi="Calibri" w:cs="Calibri"/>
              </w:rPr>
              <w:t>X</w:t>
            </w:r>
          </w:p>
        </w:tc>
      </w:tr>
      <w:tr w:rsidR="00B0479E" w14:paraId="1F9A6CDC" w14:textId="77777777" w:rsidTr="00112160">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1B5C68C0" w:rsidR="00B0479E" w:rsidRPr="00F75058" w:rsidRDefault="0040774E" w:rsidP="00DD3144">
            <w:pPr>
              <w:rPr>
                <w:rFonts w:ascii="Calibri" w:hAnsi="Calibri" w:cs="Calibri"/>
              </w:rPr>
            </w:pPr>
            <w:r>
              <w:rPr>
                <w:rFonts w:ascii="Calibri" w:hAnsi="Calibri" w:cs="Calibri"/>
              </w:rPr>
              <w:t>X</w:t>
            </w:r>
          </w:p>
        </w:tc>
      </w:tr>
      <w:tr w:rsidR="00B0479E" w14:paraId="0EF0C1BB" w14:textId="77777777" w:rsidTr="00112160">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32B4C8B" w:rsidR="00B0479E" w:rsidRPr="00F75058" w:rsidRDefault="0040774E" w:rsidP="00DD3144">
            <w:pPr>
              <w:rPr>
                <w:rFonts w:ascii="Calibri" w:hAnsi="Calibri" w:cs="Calibri"/>
              </w:rPr>
            </w:pPr>
            <w:r>
              <w:rPr>
                <w:rFonts w:ascii="Calibri" w:hAnsi="Calibri" w:cs="Calibri"/>
              </w:rPr>
              <w:t>X</w:t>
            </w:r>
          </w:p>
        </w:tc>
      </w:tr>
      <w:tr w:rsidR="00B0479E" w14:paraId="711C406F" w14:textId="77777777" w:rsidTr="00112160">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6F244337" w:rsidR="00B0479E" w:rsidRPr="00F75058" w:rsidRDefault="0040774E" w:rsidP="00DD3144">
            <w:pPr>
              <w:rPr>
                <w:rFonts w:ascii="Calibri" w:hAnsi="Calibri" w:cs="Calibri"/>
              </w:rPr>
            </w:pPr>
            <w:r>
              <w:rPr>
                <w:rFonts w:ascii="Calibri" w:hAnsi="Calibri" w:cs="Calibri"/>
              </w:rPr>
              <w:t>X</w:t>
            </w:r>
          </w:p>
        </w:tc>
      </w:tr>
      <w:tr w:rsidR="00B0479E" w14:paraId="77BC6906" w14:textId="77777777" w:rsidTr="00112160">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112160">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5D338333" w:rsidR="00B0479E" w:rsidRDefault="0040774E" w:rsidP="00DD3144">
            <w:pPr>
              <w:rPr>
                <w:rFonts w:ascii="Calibri" w:hAnsi="Calibri" w:cs="Calibri"/>
              </w:rPr>
            </w:pPr>
            <w:r>
              <w:rPr>
                <w:rFonts w:ascii="Calibri" w:hAnsi="Calibri" w:cs="Calibri"/>
              </w:rPr>
              <w:t>X</w:t>
            </w:r>
          </w:p>
        </w:tc>
      </w:tr>
      <w:tr w:rsidR="00B0479E" w14:paraId="179A812D" w14:textId="77777777" w:rsidTr="00112160">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1C3D1CDD" w:rsidR="00B0479E" w:rsidRDefault="0040774E" w:rsidP="00DD3144">
            <w:pPr>
              <w:rPr>
                <w:rFonts w:ascii="Calibri" w:hAnsi="Calibri" w:cs="Calibri"/>
              </w:rPr>
            </w:pPr>
            <w:r>
              <w:rPr>
                <w:rFonts w:ascii="Calibri" w:hAnsi="Calibri" w:cs="Calibri"/>
              </w:rPr>
              <w:t>X</w:t>
            </w:r>
          </w:p>
        </w:tc>
      </w:tr>
      <w:tr w:rsidR="00B0479E" w14:paraId="09CA9119" w14:textId="77777777" w:rsidTr="00112160">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112160">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112160">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3A33851B" w:rsidR="00B0479E" w:rsidRDefault="00D15B95" w:rsidP="00DD3144">
            <w:pPr>
              <w:rPr>
                <w:rFonts w:ascii="Calibri" w:hAnsi="Calibri" w:cs="Calibri"/>
              </w:rPr>
            </w:pPr>
            <w:r>
              <w:rPr>
                <w:rFonts w:ascii="Calibri" w:hAnsi="Calibri" w:cs="Calibri"/>
              </w:rPr>
              <w:t>X</w:t>
            </w:r>
          </w:p>
        </w:tc>
      </w:tr>
      <w:tr w:rsidR="00B0479E" w14:paraId="0303D72E" w14:textId="77777777" w:rsidTr="00112160">
        <w:trPr>
          <w:trHeight w:val="37"/>
        </w:trPr>
        <w:tc>
          <w:tcPr>
            <w:tcW w:w="828" w:type="dxa"/>
            <w:vAlign w:val="center"/>
          </w:tcPr>
          <w:p w14:paraId="4FE3769B" w14:textId="66924614" w:rsidR="00B0479E" w:rsidRDefault="00B0479E" w:rsidP="00DD3144">
            <w:r>
              <w:lastRenderedPageBreak/>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112160">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112160">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112160">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112160">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112160">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112160">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2E17E8D0" w:rsidR="00B0479E" w:rsidRDefault="00D15B95" w:rsidP="00DD3144">
            <w:pPr>
              <w:rPr>
                <w:rFonts w:ascii="Calibri" w:hAnsi="Calibri" w:cs="Calibri"/>
              </w:rPr>
            </w:pPr>
            <w:r>
              <w:rPr>
                <w:rFonts w:ascii="Calibri" w:hAnsi="Calibri" w:cs="Calibri"/>
              </w:rPr>
              <w:t>X</w:t>
            </w:r>
          </w:p>
        </w:tc>
      </w:tr>
      <w:tr w:rsidR="00B0479E" w14:paraId="172354C0" w14:textId="77777777" w:rsidTr="00112160">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112160">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112160">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112160">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664B39FE" w:rsidR="00B0479E" w:rsidRDefault="00D15B95" w:rsidP="00DD3144">
            <w:pPr>
              <w:rPr>
                <w:rFonts w:ascii="Calibri" w:hAnsi="Calibri" w:cs="Calibri"/>
              </w:rPr>
            </w:pPr>
            <w:r>
              <w:rPr>
                <w:rFonts w:ascii="Calibri" w:hAnsi="Calibri" w:cs="Calibri"/>
              </w:rPr>
              <w:t>X</w:t>
            </w:r>
          </w:p>
        </w:tc>
      </w:tr>
      <w:tr w:rsidR="00B0479E" w14:paraId="5FC9A4BD" w14:textId="77777777" w:rsidTr="00112160">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112160">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44B1CDA3" w:rsidR="00B0479E" w:rsidRDefault="00D15B95" w:rsidP="00DD3144">
            <w:pPr>
              <w:rPr>
                <w:rFonts w:ascii="Calibri" w:hAnsi="Calibri" w:cs="Calibri"/>
              </w:rPr>
            </w:pPr>
            <w:r>
              <w:rPr>
                <w:rFonts w:ascii="Calibri" w:hAnsi="Calibri" w:cs="Calibri"/>
              </w:rPr>
              <w:t xml:space="preserve">Regarding 1.22, targeted entities are to measure and report GHG emissions in conformance with the Greenhouse Gas Protocol, including the </w:t>
            </w:r>
            <w:r w:rsidRPr="00D15B95">
              <w:rPr>
                <w:rFonts w:ascii="Calibri" w:hAnsi="Calibri" w:cs="Calibri"/>
              </w:rPr>
              <w:t>Greenhouse Gas Protocol Corporate Accounting and Reporting Standard and the Greenhouse Gas Protocol Corporate Value Chain (Scope 3) Accounting and Reporting Standard</w:t>
            </w:r>
            <w:r>
              <w:rPr>
                <w:rFonts w:ascii="Calibri" w:hAnsi="Calibri" w:cs="Calibri"/>
              </w:rPr>
              <w:t>.</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112160">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112160">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112160">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112160">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112160">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112160">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112160">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112160">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112160">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112160">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112160">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112160">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112160">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112160">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112160">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112160">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112160">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112160">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112160">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112160">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112160">
        <w:trPr>
          <w:trHeight w:val="74"/>
        </w:trPr>
        <w:tc>
          <w:tcPr>
            <w:tcW w:w="828"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112160">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112160">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112160">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112160">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112160">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112160">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112160">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112160">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112160">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112160">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112160">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112160">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112160">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112160">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112160">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112160">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112160">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112160">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112160">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112160">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112160">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112160">
        <w:trPr>
          <w:trHeight w:val="44"/>
        </w:trPr>
        <w:tc>
          <w:tcPr>
            <w:tcW w:w="828" w:type="dxa"/>
            <w:vAlign w:val="center"/>
          </w:tcPr>
          <w:p w14:paraId="6EFE3766" w14:textId="36ADD7AE" w:rsidR="00B0479E" w:rsidRPr="00765130" w:rsidRDefault="00B0479E" w:rsidP="00DD3144">
            <w:pPr>
              <w:rPr>
                <w:b/>
                <w:bCs/>
              </w:rPr>
            </w:pPr>
            <w:r>
              <w:rPr>
                <w:b/>
                <w:bCs/>
              </w:rPr>
              <w:lastRenderedPageBreak/>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112160">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112160">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112160">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112160">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112160">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112160">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112160">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112160">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112160">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112160">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112160">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112160">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112160">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112160">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112160">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112160">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112160">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112160">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112160">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112160">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112160">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112160">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112160">
        <w:trPr>
          <w:trHeight w:val="74"/>
        </w:trPr>
        <w:tc>
          <w:tcPr>
            <w:tcW w:w="828" w:type="dxa"/>
            <w:vAlign w:val="center"/>
          </w:tcPr>
          <w:p w14:paraId="13B254C8" w14:textId="6A34E0A0" w:rsidR="00B0479E" w:rsidRDefault="00B0479E" w:rsidP="00DD3144">
            <w:r>
              <w:lastRenderedPageBreak/>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112160">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112160">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112160">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112160">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112160">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112160">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112160">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112160">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112160">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112160">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112160">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112160">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112160">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112160">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112160">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112160">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112160">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112160">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6835BB20" w:rsidR="00EC42A1" w:rsidRDefault="00C25064" w:rsidP="00DD3144">
            <w:r>
              <w:t>X</w:t>
            </w:r>
          </w:p>
        </w:tc>
      </w:tr>
      <w:tr w:rsidR="00EC42A1" w14:paraId="74BD9E00" w14:textId="77777777" w:rsidTr="00112160">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278565CA" w:rsidR="00EC42A1" w:rsidRDefault="00EC42A1" w:rsidP="00DD3144"/>
        </w:tc>
      </w:tr>
      <w:tr w:rsidR="00EC42A1" w14:paraId="45F209CE" w14:textId="77777777" w:rsidTr="00112160">
        <w:trPr>
          <w:trHeight w:val="74"/>
        </w:trPr>
        <w:tc>
          <w:tcPr>
            <w:tcW w:w="828" w:type="dxa"/>
            <w:vAlign w:val="center"/>
          </w:tcPr>
          <w:p w14:paraId="66FBBB1E" w14:textId="1E3F53B7" w:rsidR="00EC42A1" w:rsidRPr="00570082" w:rsidRDefault="00EC42A1" w:rsidP="00DD3144">
            <w:pPr>
              <w:rPr>
                <w:b/>
                <w:bCs/>
              </w:rPr>
            </w:pPr>
            <w:r>
              <w:rPr>
                <w:b/>
                <w:bCs/>
              </w:rPr>
              <w:lastRenderedPageBreak/>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112160">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65D33BAC" w:rsidR="00EC42A1" w:rsidRDefault="006528FE" w:rsidP="00DD3144">
            <w:r>
              <w:t>X</w:t>
            </w:r>
          </w:p>
        </w:tc>
      </w:tr>
      <w:tr w:rsidR="00EC42A1" w14:paraId="6EF3B20D" w14:textId="77777777" w:rsidTr="00112160">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112160">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3A52B0B" w:rsidR="00EC42A1" w:rsidRDefault="00EC42A1" w:rsidP="00DD3144"/>
        </w:tc>
      </w:tr>
      <w:tr w:rsidR="00EC42A1" w14:paraId="7906EB0B" w14:textId="77777777" w:rsidTr="00112160">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112160">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4068C008" w:rsidR="00EC42A1" w:rsidRDefault="00C25064" w:rsidP="00DD3144">
            <w:r>
              <w:t>Section 38533(a)(2) defines “</w:t>
            </w:r>
            <w:r w:rsidRPr="00C25064">
              <w:t xml:space="preserve">Climate-related financial risk" </w:t>
            </w:r>
            <w:r>
              <w:t>as</w:t>
            </w:r>
            <w:r w:rsidRPr="00C25064">
              <w:t xml:space="preserve"> </w:t>
            </w:r>
            <w:r>
              <w:t>“</w:t>
            </w:r>
            <w:r w:rsidRPr="00C25064">
              <w:t>material risk of harm to immediate and long-term financial outcomes due to physical and transition risks, including, but not limited to, risks to corporate operations, provision of goods and services, supply chains, employee health and safety, capital and financial investments, institutional investments, financial standing of loan recipients and borrowers, shareholder value, consumer demand, and financial markets and economic health</w:t>
            </w:r>
            <w:r>
              <w:t>”</w:t>
            </w:r>
            <w:r w:rsidR="00FB47D2">
              <w:t xml:space="preserve">. </w:t>
            </w:r>
            <w:r w:rsidR="001F6C59">
              <w:t xml:space="preserve">The statute, however, does not </w:t>
            </w:r>
            <w:r w:rsidR="00E135F0">
              <w:t xml:space="preserve">specifically define the </w:t>
            </w:r>
            <w:r w:rsidR="001F6C59">
              <w:t xml:space="preserve">term </w:t>
            </w:r>
            <w:r w:rsidR="00FB47D2">
              <w:t>“material risk</w:t>
            </w:r>
            <w:r w:rsidR="001F6C59">
              <w:t>.</w:t>
            </w:r>
            <w:r w:rsidR="00FB47D2">
              <w:t xml:space="preserve">” </w:t>
            </w:r>
          </w:p>
        </w:tc>
      </w:tr>
      <w:tr w:rsidR="00EC42A1" w14:paraId="0DA41032" w14:textId="77777777" w:rsidTr="00112160">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112160">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112160">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73407ABC" w:rsidR="00EC42A1" w:rsidRDefault="0075395A" w:rsidP="00DD3144">
            <w:r>
              <w:t>X</w:t>
            </w:r>
          </w:p>
        </w:tc>
      </w:tr>
      <w:tr w:rsidR="00EC42A1" w14:paraId="3F5A078D" w14:textId="77777777" w:rsidTr="00112160">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0BB1864C" w:rsidR="00EC42A1" w:rsidRDefault="0075395A" w:rsidP="00DD3144">
            <w:r>
              <w:t>X</w:t>
            </w:r>
          </w:p>
        </w:tc>
      </w:tr>
      <w:tr w:rsidR="00EC42A1" w14:paraId="6DB7FA2D" w14:textId="77777777" w:rsidTr="00112160">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3479B8CC" w:rsidR="00EC42A1" w:rsidRDefault="0075395A"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112160">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112160">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112160">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3CB343E0" w:rsidR="00484663" w:rsidRDefault="0075395A" w:rsidP="00DD3144">
            <w:r>
              <w:t>X</w:t>
            </w:r>
          </w:p>
        </w:tc>
      </w:tr>
      <w:tr w:rsidR="00484663" w14:paraId="20088A84" w14:textId="77777777" w:rsidTr="00112160">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0298C42F" w:rsidR="00484663" w:rsidRDefault="00484663" w:rsidP="00DD3144"/>
        </w:tc>
      </w:tr>
      <w:tr w:rsidR="00484663" w14:paraId="354BF968" w14:textId="77777777" w:rsidTr="00112160">
        <w:trPr>
          <w:trHeight w:val="20"/>
        </w:trPr>
        <w:tc>
          <w:tcPr>
            <w:tcW w:w="828" w:type="dxa"/>
            <w:vAlign w:val="center"/>
          </w:tcPr>
          <w:p w14:paraId="386CB503" w14:textId="663DDA20" w:rsidR="00484663" w:rsidRPr="003634F2" w:rsidRDefault="00484663" w:rsidP="00DD3144">
            <w:pPr>
              <w:rPr>
                <w:b/>
                <w:bCs/>
              </w:rPr>
            </w:pPr>
            <w:r>
              <w:rPr>
                <w:b/>
                <w:bCs/>
              </w:rPr>
              <w:lastRenderedPageBreak/>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112160">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227144FA" w:rsidR="00484663" w:rsidRDefault="006528FE" w:rsidP="00DD3144">
            <w:r>
              <w:t>X</w:t>
            </w:r>
          </w:p>
        </w:tc>
      </w:tr>
      <w:tr w:rsidR="00484663" w14:paraId="13848922" w14:textId="77777777" w:rsidTr="00112160">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112160">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6E6FE796" w:rsidR="00484663" w:rsidRDefault="00484663" w:rsidP="00DD3144"/>
        </w:tc>
      </w:tr>
      <w:tr w:rsidR="00484663" w14:paraId="04E97640" w14:textId="77777777" w:rsidTr="00112160">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112160" w14:paraId="0535BBE4" w14:textId="77777777" w:rsidTr="00112160">
        <w:trPr>
          <w:trHeight w:val="1020"/>
        </w:trPr>
        <w:tc>
          <w:tcPr>
            <w:tcW w:w="828" w:type="dxa"/>
            <w:vAlign w:val="center"/>
          </w:tcPr>
          <w:p w14:paraId="68A548C6" w14:textId="77777777" w:rsidR="00112160" w:rsidRDefault="00112160" w:rsidP="00112160"/>
        </w:tc>
        <w:tc>
          <w:tcPr>
            <w:tcW w:w="9612" w:type="dxa"/>
            <w:gridSpan w:val="5"/>
            <w:vAlign w:val="center"/>
          </w:tcPr>
          <w:p w14:paraId="0B6A39BD" w14:textId="2B9D13D2" w:rsidR="00112160" w:rsidRDefault="00112160" w:rsidP="00112160">
            <w:r>
              <w:t>Section 38533(a)(2) defines “</w:t>
            </w:r>
            <w:r w:rsidRPr="00C25064">
              <w:t xml:space="preserve">Climate-related financial risk" </w:t>
            </w:r>
            <w:r>
              <w:t>as</w:t>
            </w:r>
            <w:r w:rsidRPr="00C25064">
              <w:t xml:space="preserve"> </w:t>
            </w:r>
            <w:r>
              <w:t>“</w:t>
            </w:r>
            <w:r w:rsidRPr="00C25064">
              <w:t>material risk of harm to immediate and long-term financial outcomes due to physical and transition risks, including, but not limited to, risks to corporate operations, provision of goods and services, supply chains, employee health and safety, capital and financial investments, institutional investments, financial standing of loan recipients and borrowers, shareholder value, consumer demand, and financial markets and economic health</w:t>
            </w:r>
            <w:r>
              <w:t xml:space="preserve">”. The statute, however, does not specifically define the term “material risk.” </w:t>
            </w:r>
          </w:p>
        </w:tc>
      </w:tr>
      <w:tr w:rsidR="00484663" w14:paraId="3F0F196A" w14:textId="77777777" w:rsidTr="00112160">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112160">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112160">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07BB3A6" w:rsidR="00484663" w:rsidRDefault="0075395A" w:rsidP="00DD3144">
            <w:r>
              <w:t>X</w:t>
            </w:r>
          </w:p>
        </w:tc>
      </w:tr>
      <w:tr w:rsidR="00484663" w14:paraId="24BE2638" w14:textId="77777777" w:rsidTr="00112160">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6A861C8A"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64A7CB1B" w:rsidR="00484663" w:rsidRDefault="0075395A" w:rsidP="00DD3144">
            <w:r>
              <w:t>X</w:t>
            </w:r>
          </w:p>
        </w:tc>
      </w:tr>
      <w:tr w:rsidR="00484663" w14:paraId="2D11877E" w14:textId="77777777" w:rsidTr="00112160">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1427C8EA" w:rsidR="00484663" w:rsidRDefault="0075395A"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112160">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112160">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112160">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112160">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112160">
        <w:trPr>
          <w:trHeight w:val="224"/>
        </w:trPr>
        <w:tc>
          <w:tcPr>
            <w:tcW w:w="828" w:type="dxa"/>
            <w:shd w:val="clear" w:color="auto" w:fill="auto"/>
            <w:vAlign w:val="center"/>
          </w:tcPr>
          <w:p w14:paraId="4FB51C3C" w14:textId="2F623D2B" w:rsidR="00484663" w:rsidRDefault="00484663" w:rsidP="00DD3144">
            <w:r>
              <w:lastRenderedPageBreak/>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112160">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112160">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112160">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112160">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112160">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112160">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112160">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112160">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112160">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112160">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112160">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112160">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112160">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77777777" w:rsidR="00484663" w:rsidRDefault="00484663" w:rsidP="00DD3144"/>
        </w:tc>
      </w:tr>
      <w:tr w:rsidR="00484663" w14:paraId="038A5459" w14:textId="77777777" w:rsidTr="00112160">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112160">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77777777" w:rsidR="00484663" w:rsidRDefault="00484663" w:rsidP="00DD3144"/>
        </w:tc>
      </w:tr>
      <w:tr w:rsidR="00484663" w14:paraId="383D1A10" w14:textId="77777777" w:rsidTr="00112160">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112160">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77777777" w:rsidR="00484663" w:rsidRDefault="00484663" w:rsidP="00DD3144"/>
        </w:tc>
      </w:tr>
      <w:tr w:rsidR="00484663" w14:paraId="7F0B6EE0" w14:textId="77777777" w:rsidTr="00112160">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112160">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77777777" w:rsidR="00484663" w:rsidRDefault="00484663" w:rsidP="00DD3144"/>
        </w:tc>
      </w:tr>
      <w:tr w:rsidR="00484663" w14:paraId="526E2789" w14:textId="77777777" w:rsidTr="00112160">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112160">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77777777" w:rsidR="00484663" w:rsidRDefault="00484663" w:rsidP="00DD3144"/>
        </w:tc>
      </w:tr>
      <w:tr w:rsidR="00484663" w14:paraId="2B1F32D1" w14:textId="77777777" w:rsidTr="00112160">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112160">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7777777" w:rsidR="00484663" w:rsidRDefault="00484663" w:rsidP="00DD3144"/>
        </w:tc>
      </w:tr>
      <w:tr w:rsidR="00484663" w14:paraId="7ADCA171" w14:textId="77777777" w:rsidTr="00112160">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112160">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77777777" w:rsidR="00484663" w:rsidRDefault="00484663" w:rsidP="00DD3144"/>
        </w:tc>
      </w:tr>
      <w:tr w:rsidR="00484663" w14:paraId="47C94A95" w14:textId="77777777" w:rsidTr="00112160">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112160">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7777777" w:rsidR="00484663" w:rsidRDefault="00484663" w:rsidP="00DD3144"/>
        </w:tc>
      </w:tr>
      <w:tr w:rsidR="00484663" w14:paraId="66F1229A" w14:textId="77777777" w:rsidTr="00112160">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112160">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77777777" w:rsidR="00484663" w:rsidRDefault="00484663" w:rsidP="00DD3144"/>
        </w:tc>
      </w:tr>
      <w:tr w:rsidR="00484663" w14:paraId="251B85E3" w14:textId="77777777" w:rsidTr="00112160">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112160">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6DDFE6B" w:rsidR="00DA416F" w:rsidRPr="00DD3144" w:rsidRDefault="00952879"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66169F7" w:rsidR="00DA416F" w:rsidRPr="00DD3144" w:rsidRDefault="00952879"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0F57484D" w:rsidR="00DA416F" w:rsidRPr="00DD3144" w:rsidRDefault="00BD1809" w:rsidP="00DD3144">
            <w:pPr>
              <w:keepNext/>
              <w:rPr>
                <w:rFonts w:ascii="Calibri" w:hAnsi="Calibri" w:cs="Calibri"/>
              </w:rPr>
            </w:pPr>
            <w:r>
              <w:rPr>
                <w:rFonts w:ascii="Calibri" w:hAnsi="Calibri" w:cs="Calibri"/>
              </w:rPr>
              <w:t>X</w:t>
            </w: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6CAEC4FB" w:rsidR="00DA416F" w:rsidRPr="00DD3144" w:rsidRDefault="0075395A" w:rsidP="00DD3144">
            <w:pPr>
              <w:keepNext/>
              <w:rPr>
                <w:rFonts w:ascii="Calibri" w:hAnsi="Calibri" w:cs="Calibri"/>
              </w:rPr>
            </w:pPr>
            <w:r>
              <w:rPr>
                <w:rFonts w:ascii="Calibri" w:hAnsi="Calibri" w:cs="Calibri"/>
              </w:rPr>
              <w:t>X</w:t>
            </w: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07C7B2D2" w:rsidR="00DA416F" w:rsidRPr="00DD3144" w:rsidRDefault="0075395A" w:rsidP="00DD3144">
            <w:pPr>
              <w:keepNext/>
              <w:rPr>
                <w:rFonts w:ascii="Calibri" w:hAnsi="Calibri" w:cs="Calibri"/>
              </w:rPr>
            </w:pPr>
            <w:r>
              <w:rPr>
                <w:rFonts w:ascii="Calibri" w:hAnsi="Calibri" w:cs="Calibri"/>
              </w:rPr>
              <w:t>X</w:t>
            </w: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022AE0C8" w:rsidR="00DA416F" w:rsidRPr="00DD3144" w:rsidRDefault="00952879"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1FE0709" w:rsidR="00DA416F" w:rsidRPr="00DD3144" w:rsidRDefault="00952879"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960CED2" w:rsidR="00DA416F" w:rsidRPr="00DD3144" w:rsidRDefault="00952879"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1EB2402" w:rsidR="00DA416F" w:rsidRPr="00DD3144" w:rsidRDefault="00952879"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4D132C6" w:rsidR="00DA416F" w:rsidRPr="00DD3144" w:rsidRDefault="00952879"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895ABCB" w:rsidR="00DA416F" w:rsidRPr="00DD3144" w:rsidRDefault="00952879"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0EC9118" w:rsidR="00DA416F" w:rsidRPr="00DD3144" w:rsidRDefault="00952879"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E87136C" w:rsidR="00DA416F" w:rsidRPr="00DD3144" w:rsidRDefault="00952879"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E9993B3" w:rsidR="33822AF7" w:rsidRDefault="00F13758" w:rsidP="00F13758">
      <w:pPr>
        <w:pStyle w:val="DocID"/>
      </w:pPr>
      <w:r>
        <w:fldChar w:fldCharType="begin"/>
      </w:r>
      <w:r>
        <w:instrText xml:space="preserve"> DOCPROPERTY DOCXDOCID DMS=IManage Format=&lt;&lt;NUM&gt;&gt;v.&lt;&lt;VER&gt;&gt; \* MERGEFORMAT </w:instrText>
      </w:r>
      <w:r>
        <w:fldChar w:fldCharType="separate"/>
      </w:r>
      <w:proofErr w:type="spellStart"/>
      <w:r w:rsidRPr="00F13758">
        <w:t>530182127v.2</w:t>
      </w:r>
      <w:proofErr w:type="spellEnd"/>
      <w:r>
        <w:fldChar w:fldCharType="end"/>
      </w: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9804C0" w14:textId="77777777" w:rsidR="00911DAE" w:rsidRDefault="00911DAE" w:rsidP="00874E39">
      <w:r>
        <w:separator/>
      </w:r>
    </w:p>
  </w:endnote>
  <w:endnote w:type="continuationSeparator" w:id="0">
    <w:p w14:paraId="7EA925DE" w14:textId="77777777" w:rsidR="00911DAE" w:rsidRDefault="00911DAE" w:rsidP="00874E39">
      <w:r>
        <w:continuationSeparator/>
      </w:r>
    </w:p>
  </w:endnote>
  <w:endnote w:type="continuationNotice" w:id="1">
    <w:p w14:paraId="485B50B2" w14:textId="77777777" w:rsidR="00911DAE" w:rsidRDefault="00911DA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24D5A94"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8D1B81" w14:textId="77777777" w:rsidR="00911DAE" w:rsidRDefault="00911DAE" w:rsidP="00874E39">
      <w:r>
        <w:separator/>
      </w:r>
    </w:p>
  </w:footnote>
  <w:footnote w:type="continuationSeparator" w:id="0">
    <w:p w14:paraId="4C29824A" w14:textId="77777777" w:rsidR="00911DAE" w:rsidRDefault="00911DAE" w:rsidP="00874E39">
      <w:r>
        <w:continuationSeparator/>
      </w:r>
    </w:p>
  </w:footnote>
  <w:footnote w:type="continuationNotice" w:id="1">
    <w:p w14:paraId="6EEC59CF" w14:textId="77777777" w:rsidR="00911DAE" w:rsidRDefault="00911DA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2EEC45" w14:textId="77777777" w:rsidR="005C58A1" w:rsidRDefault="005C58A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FCF8DE" w14:textId="77777777" w:rsidR="005C58A1" w:rsidRDefault="005C58A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258647F"/>
    <w:multiLevelType w:val="hybridMultilevel"/>
    <w:tmpl w:val="54A480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83D7304"/>
    <w:multiLevelType w:val="hybridMultilevel"/>
    <w:tmpl w:val="5C4895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6"/>
  </w:num>
  <w:num w:numId="48" w16cid:durableId="318391343">
    <w:abstractNumId w:val="37"/>
  </w:num>
  <w:num w:numId="49" w16cid:durableId="355278935">
    <w:abstractNumId w:val="41"/>
  </w:num>
  <w:num w:numId="50" w16cid:durableId="1068261352">
    <w:abstractNumId w:val="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236"/>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31B"/>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21F"/>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037"/>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160"/>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7AB"/>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7BD"/>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6C59"/>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A83"/>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96C"/>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544"/>
    <w:rsid w:val="003F4908"/>
    <w:rsid w:val="003F5B6F"/>
    <w:rsid w:val="003F680F"/>
    <w:rsid w:val="00400800"/>
    <w:rsid w:val="00401843"/>
    <w:rsid w:val="004024D0"/>
    <w:rsid w:val="00404119"/>
    <w:rsid w:val="00404453"/>
    <w:rsid w:val="00405D8B"/>
    <w:rsid w:val="00406643"/>
    <w:rsid w:val="00407420"/>
    <w:rsid w:val="0040774E"/>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586"/>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C0A"/>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6FD"/>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B7B36"/>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24D"/>
    <w:rsid w:val="00524D54"/>
    <w:rsid w:val="00525910"/>
    <w:rsid w:val="0052600B"/>
    <w:rsid w:val="00526617"/>
    <w:rsid w:val="00530553"/>
    <w:rsid w:val="00530958"/>
    <w:rsid w:val="00532585"/>
    <w:rsid w:val="00532B66"/>
    <w:rsid w:val="00534440"/>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642"/>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09D"/>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58A1"/>
    <w:rsid w:val="005C6A1D"/>
    <w:rsid w:val="005C765C"/>
    <w:rsid w:val="005C7DF6"/>
    <w:rsid w:val="005D02C9"/>
    <w:rsid w:val="005D55BE"/>
    <w:rsid w:val="005D6FD3"/>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8F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DCC"/>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065B"/>
    <w:rsid w:val="006E114C"/>
    <w:rsid w:val="006E18FD"/>
    <w:rsid w:val="006E23C1"/>
    <w:rsid w:val="006E42E6"/>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BA5"/>
    <w:rsid w:val="00744521"/>
    <w:rsid w:val="007449EE"/>
    <w:rsid w:val="00744BC0"/>
    <w:rsid w:val="00750A02"/>
    <w:rsid w:val="00752CD3"/>
    <w:rsid w:val="00753427"/>
    <w:rsid w:val="0075345B"/>
    <w:rsid w:val="0075395A"/>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7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B20"/>
    <w:rsid w:val="007D6CAB"/>
    <w:rsid w:val="007D771D"/>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4E2"/>
    <w:rsid w:val="00815729"/>
    <w:rsid w:val="00815AAB"/>
    <w:rsid w:val="00816D92"/>
    <w:rsid w:val="00816F1B"/>
    <w:rsid w:val="00820D9F"/>
    <w:rsid w:val="00822032"/>
    <w:rsid w:val="008221EF"/>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DB0"/>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DAE"/>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6AE1"/>
    <w:rsid w:val="009370E9"/>
    <w:rsid w:val="00937D9B"/>
    <w:rsid w:val="00940E65"/>
    <w:rsid w:val="0094115B"/>
    <w:rsid w:val="009462FE"/>
    <w:rsid w:val="00946B7A"/>
    <w:rsid w:val="009471BC"/>
    <w:rsid w:val="00947D8F"/>
    <w:rsid w:val="00950AB0"/>
    <w:rsid w:val="00950B68"/>
    <w:rsid w:val="00951BBE"/>
    <w:rsid w:val="0095260A"/>
    <w:rsid w:val="00952879"/>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1D8"/>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2B0"/>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703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6B1B"/>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CF6"/>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1EF8"/>
    <w:rsid w:val="00B62F6C"/>
    <w:rsid w:val="00B634F2"/>
    <w:rsid w:val="00B63A09"/>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4EF8"/>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2F92"/>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809"/>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0FD9"/>
    <w:rsid w:val="00C13017"/>
    <w:rsid w:val="00C13FBE"/>
    <w:rsid w:val="00C141CA"/>
    <w:rsid w:val="00C149A3"/>
    <w:rsid w:val="00C16C64"/>
    <w:rsid w:val="00C173CD"/>
    <w:rsid w:val="00C20109"/>
    <w:rsid w:val="00C20FC8"/>
    <w:rsid w:val="00C227D5"/>
    <w:rsid w:val="00C228DF"/>
    <w:rsid w:val="00C2454C"/>
    <w:rsid w:val="00C25064"/>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C34"/>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BD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B95"/>
    <w:rsid w:val="00D15E8F"/>
    <w:rsid w:val="00D166A9"/>
    <w:rsid w:val="00D16C1B"/>
    <w:rsid w:val="00D1763B"/>
    <w:rsid w:val="00D177DF"/>
    <w:rsid w:val="00D17FD2"/>
    <w:rsid w:val="00D20C74"/>
    <w:rsid w:val="00D2196F"/>
    <w:rsid w:val="00D21D15"/>
    <w:rsid w:val="00D2244A"/>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890"/>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4A0"/>
    <w:rsid w:val="00DC18A5"/>
    <w:rsid w:val="00DC1D8C"/>
    <w:rsid w:val="00DC231D"/>
    <w:rsid w:val="00DC2F86"/>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5F0"/>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176"/>
    <w:rsid w:val="00E405B9"/>
    <w:rsid w:val="00E41941"/>
    <w:rsid w:val="00E425D4"/>
    <w:rsid w:val="00E43229"/>
    <w:rsid w:val="00E4425D"/>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D1C"/>
    <w:rsid w:val="00EE23B3"/>
    <w:rsid w:val="00EE5475"/>
    <w:rsid w:val="00EE62E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758"/>
    <w:rsid w:val="00F13A6D"/>
    <w:rsid w:val="00F156A3"/>
    <w:rsid w:val="00F1597E"/>
    <w:rsid w:val="00F16329"/>
    <w:rsid w:val="00F17407"/>
    <w:rsid w:val="00F179A4"/>
    <w:rsid w:val="00F21C87"/>
    <w:rsid w:val="00F21E1D"/>
    <w:rsid w:val="00F22368"/>
    <w:rsid w:val="00F233CB"/>
    <w:rsid w:val="00F23936"/>
    <w:rsid w:val="00F2552D"/>
    <w:rsid w:val="00F255C3"/>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773D"/>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47D2"/>
    <w:rsid w:val="00FB5A70"/>
    <w:rsid w:val="00FC0689"/>
    <w:rsid w:val="00FC13F0"/>
    <w:rsid w:val="00FC337B"/>
    <w:rsid w:val="00FC4B4A"/>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5C58A1"/>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eader" Target="head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ayback-api.archive.org/web/20250614225741/https:/law.justia.com/cases/federal/district-courts/california/cacdce/2:2024cv00801/912952/77/"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2.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https://wayback-api.archive.org/web/20250614225121/https:/legiscan.com/CA/text/SB219/id/3023169"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fsb.org/uploads/P131022-1.pdf" TargetMode="Externa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hyperlink" Target="https://www.bis.org/fsi/fsibriefs18.pdf" TargetMode="Externa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ayback-api.archive.org/web/20250614225914/https:/www.globalelr.com/2024/11/litigation-over-californias-climate-disclosure-laws-continues-to-discovery-phase/"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roperties xmlns="http://www.imanage.com/work/xmlschema">
  <documentid>Active!530182127.2</documentid>
  <senderid>GMCCOLL</senderid>
  <senderemail>GMCCOLL@MINTZ.COM</senderemail>
  <lastmodified>2025-06-23T08:13:00.0000000-04:00</lastmodified>
  <database>Active</database>
</properti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D5B9B311-F862-43D3-8374-5B21A4C46FD9}">
  <ds:schemaRefs>
    <ds:schemaRef ds:uri="http://www.imanage.com/work/xmlschema"/>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5.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114</Pages>
  <Words>22432</Words>
  <Characters>133473</Characters>
  <Application>Microsoft Office Word</Application>
  <DocSecurity>0</DocSecurity>
  <Lines>8342</Lines>
  <Paragraphs>4724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19</cp:revision>
  <cp:lastPrinted>2025-03-21T00:14:00Z</cp:lastPrinted>
  <dcterms:created xsi:type="dcterms:W3CDTF">2025-06-21T19:55:00Z</dcterms:created>
  <dcterms:modified xsi:type="dcterms:W3CDTF">2025-06-27T04:40:00Z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530182127v.2</vt:lpwstr>
  </property>
  <property fmtid="{D5CDD505-2E9C-101B-9397-08002B2CF9AE}" pid="5" name="DocXFormat">
    <vt:lpwstr>DocID</vt:lpwstr>
  </property>
  <property fmtid="{D5CDD505-2E9C-101B-9397-08002B2CF9AE}" pid="6" name="DocXLocation">
    <vt:lpwstr>EndOfDocument</vt:lpwstr>
  </property>
</Properties>
</file>